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8E" w:rsidRPr="0069335E" w:rsidRDefault="004D2A94" w:rsidP="0069335E">
      <w:pPr>
        <w:spacing w:line="380" w:lineRule="exact"/>
        <w:jc w:val="center"/>
        <w:rPr>
          <w:rFonts w:hint="eastAsia"/>
          <w:b/>
          <w:outline/>
          <w:color w:val="9B2D1F" w:themeColor="accent2"/>
          <w:sz w:val="36"/>
          <w14:shadow w14:blurRad="50800" w14:dist="38100" w14:dir="13500000" w14:sx="100000" w14:sy="100000" w14:kx="0" w14:ky="0" w14:algn="br">
            <w14:srgbClr w14:val="000000">
              <w14:alpha w14:val="6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69335E">
        <w:rPr>
          <w:rFonts w:hint="eastAsia"/>
          <w:b/>
          <w:outline/>
          <w:color w:val="9B2D1F" w:themeColor="accent2"/>
          <w:sz w:val="36"/>
          <w14:shadow w14:blurRad="50800" w14:dist="38100" w14:dir="13500000" w14:sx="100000" w14:sy="100000" w14:kx="0" w14:ky="0" w14:algn="br">
            <w14:srgbClr w14:val="000000">
              <w14:alpha w14:val="60000"/>
            </w14:srgbClr>
          </w14:shadow>
          <w14:textOutline w14:w="9004" w14:cap="flat" w14:cmpd="sng" w14:algn="ctr">
            <w14:solidFill>
              <w14:schemeClr w14:val="accent2">
                <w14:satMod w14:val="140000"/>
              </w14:schemeClr>
            </w14:solidFill>
            <w14:prstDash w14:val="solid"/>
            <w14:miter w14:lim="0"/>
          </w14:textOutline>
          <w14:textFill>
            <w14:noFill/>
          </w14:textFill>
        </w:rPr>
        <w:t>幸福な国へ</w:t>
      </w:r>
    </w:p>
    <w:p w:rsidR="004D2A94" w:rsidRPr="0069335E" w:rsidRDefault="004D2A94" w:rsidP="0069335E">
      <w:pPr>
        <w:spacing w:line="380" w:lineRule="exact"/>
        <w:jc w:val="center"/>
        <w:rPr>
          <w:rFonts w:hint="eastAsia"/>
          <w:b/>
          <w:outline/>
          <w:color w:val="9B2D1F" w:themeColor="accent2"/>
          <w:sz w:val="28"/>
          <w14:shadow w14:blurRad="50800" w14:dist="38100" w14:dir="13500000" w14:sx="100000" w14:sy="100000" w14:kx="0" w14:ky="0" w14:algn="br">
            <w14:srgbClr w14:val="000000">
              <w14:alpha w14:val="6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69335E">
        <w:rPr>
          <w:rFonts w:hint="eastAsia"/>
          <w:b/>
          <w:outline/>
          <w:color w:val="9B2D1F" w:themeColor="accent2"/>
          <w:sz w:val="28"/>
          <w14:shadow w14:blurRad="50800" w14:dist="38100" w14:dir="13500000" w14:sx="100000" w14:sy="100000" w14:kx="0" w14:ky="0" w14:algn="br">
            <w14:srgbClr w14:val="000000">
              <w14:alpha w14:val="60000"/>
            </w14:srgbClr>
          </w14:shadow>
          <w14:textOutline w14:w="9004" w14:cap="flat" w14:cmpd="sng" w14:algn="ctr">
            <w14:solidFill>
              <w14:schemeClr w14:val="accent2">
                <w14:satMod w14:val="140000"/>
              </w14:schemeClr>
            </w14:solidFill>
            <w14:prstDash w14:val="solid"/>
            <w14:miter w14:lim="0"/>
          </w14:textOutline>
          <w14:textFill>
            <w14:noFill/>
          </w14:textFill>
        </w:rPr>
        <w:t>～質的成長へのパラダイムシフト～</w:t>
      </w:r>
    </w:p>
    <w:p w:rsidR="0069335E" w:rsidRDefault="0069335E" w:rsidP="00A10D7E">
      <w:pPr>
        <w:ind w:firstLineChars="100" w:firstLine="210"/>
        <w:rPr>
          <w:rFonts w:hint="eastAsia"/>
        </w:rPr>
      </w:pPr>
    </w:p>
    <w:p w:rsidR="00A10D7E" w:rsidRDefault="00A10D7E" w:rsidP="00A10D7E">
      <w:pPr>
        <w:ind w:firstLineChars="100" w:firstLine="210"/>
        <w:rPr>
          <w:rFonts w:hint="eastAsia"/>
        </w:rPr>
      </w:pPr>
      <w:r>
        <w:rPr>
          <w:rFonts w:hint="eastAsia"/>
        </w:rPr>
        <w:t>20</w:t>
      </w:r>
      <w:r>
        <w:rPr>
          <w:rFonts w:hint="eastAsia"/>
        </w:rPr>
        <w:t>世紀、日本</w:t>
      </w:r>
      <w:r>
        <w:rPr>
          <w:rFonts w:hint="eastAsia"/>
        </w:rPr>
        <w:t>,</w:t>
      </w:r>
      <w:r>
        <w:rPr>
          <w:rFonts w:hint="eastAsia"/>
        </w:rPr>
        <w:t>そして世界各</w:t>
      </w:r>
      <w:r>
        <w:rPr>
          <w:rFonts w:hint="eastAsia"/>
        </w:rPr>
        <w:t>国が目指したものは「経済成長」であった。</w:t>
      </w:r>
      <w:r w:rsidR="0069335E">
        <w:rPr>
          <w:rFonts w:hint="eastAsia"/>
        </w:rPr>
        <w:t>その目標のもと、</w:t>
      </w:r>
      <w:r>
        <w:rPr>
          <w:rFonts w:hint="eastAsia"/>
        </w:rPr>
        <w:t>近年中国にその座をゆずったものの、世界の名目</w:t>
      </w:r>
      <w:r>
        <w:rPr>
          <w:rFonts w:hint="eastAsia"/>
        </w:rPr>
        <w:t>GDP</w:t>
      </w:r>
      <w:r>
        <w:rPr>
          <w:rFonts w:hint="eastAsia"/>
        </w:rPr>
        <w:t>ランキング世界第二位になるまでの大きな成長を遂げた。</w:t>
      </w:r>
    </w:p>
    <w:p w:rsidR="004D2A94" w:rsidRDefault="00A10D7E" w:rsidP="00A10D7E">
      <w:pPr>
        <w:rPr>
          <w:rFonts w:hint="eastAsia"/>
        </w:rPr>
      </w:pPr>
      <w:r w:rsidRPr="00724B50">
        <w:drawing>
          <wp:anchor distT="0" distB="0" distL="114300" distR="114300" simplePos="0" relativeHeight="251658240" behindDoc="1" locked="0" layoutInCell="1" allowOverlap="1" wp14:anchorId="4E9734B0" wp14:editId="19CD13AA">
            <wp:simplePos x="0" y="0"/>
            <wp:positionH relativeFrom="column">
              <wp:posOffset>229870</wp:posOffset>
            </wp:positionH>
            <wp:positionV relativeFrom="paragraph">
              <wp:posOffset>1177290</wp:posOffset>
            </wp:positionV>
            <wp:extent cx="4770755" cy="866775"/>
            <wp:effectExtent l="0" t="0" r="0" b="9525"/>
            <wp:wrapTight wrapText="bothSides">
              <wp:wrapPolygon edited="0">
                <wp:start x="0" y="0"/>
                <wp:lineTo x="0" y="21363"/>
                <wp:lineTo x="21476" y="21363"/>
                <wp:lineTo x="2147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075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しかし、</w:t>
      </w:r>
      <w:r>
        <w:rPr>
          <w:rFonts w:hint="eastAsia"/>
        </w:rPr>
        <w:t>21</w:t>
      </w:r>
      <w:r>
        <w:rPr>
          <w:rFonts w:hint="eastAsia"/>
        </w:rPr>
        <w:t>世紀の今、</w:t>
      </w:r>
      <w:r>
        <w:rPr>
          <w:rFonts w:hint="eastAsia"/>
        </w:rPr>
        <w:t>20</w:t>
      </w:r>
      <w:r>
        <w:rPr>
          <w:rFonts w:hint="eastAsia"/>
        </w:rPr>
        <w:t>世紀を振りかえれば「経済成長」と引き換えに我々人類は多くのものを失った。</w:t>
      </w:r>
      <w:r>
        <w:rPr>
          <w:rFonts w:hint="eastAsia"/>
        </w:rPr>
        <w:t>下</w:t>
      </w:r>
      <w:r w:rsidR="00A43B5A">
        <w:rPr>
          <w:rFonts w:hint="eastAsia"/>
        </w:rPr>
        <w:t>図</w:t>
      </w:r>
      <w:r>
        <w:rPr>
          <w:rFonts w:hint="eastAsia"/>
        </w:rPr>
        <w:t>は</w:t>
      </w:r>
      <w:r>
        <w:rPr>
          <w:rFonts w:hint="eastAsia"/>
        </w:rPr>
        <w:t>1980</w:t>
      </w:r>
      <w:r>
        <w:rPr>
          <w:rFonts w:hint="eastAsia"/>
        </w:rPr>
        <w:t>年から</w:t>
      </w:r>
      <w:r>
        <w:rPr>
          <w:rFonts w:hint="eastAsia"/>
        </w:rPr>
        <w:t>2000</w:t>
      </w:r>
      <w:r>
        <w:rPr>
          <w:rFonts w:hint="eastAsia"/>
        </w:rPr>
        <w:t>年のそれぞれの数値である。産業発達による温暖化のために、北極圏の海氷は年々減り、環境汚染によって漁獲量も年々減っている。豊かになったはずが、経済格差は広がり、自殺者は増えていく。今こそ、経済成長を目標とする大きなパラダイムの転換が必要である。</w:t>
      </w:r>
    </w:p>
    <w:p w:rsidR="00A10D7E" w:rsidRDefault="00A10D7E" w:rsidP="00A10D7E">
      <w:pPr>
        <w:rPr>
          <w:rFonts w:hint="eastAsia"/>
        </w:rPr>
      </w:pPr>
    </w:p>
    <w:p w:rsidR="00A10D7E" w:rsidRDefault="00A10D7E" w:rsidP="00A10D7E">
      <w:pPr>
        <w:rPr>
          <w:rFonts w:hint="eastAsia"/>
        </w:rPr>
      </w:pPr>
    </w:p>
    <w:p w:rsidR="00A10D7E" w:rsidRDefault="00A10D7E" w:rsidP="00A10D7E">
      <w:pPr>
        <w:rPr>
          <w:rFonts w:hint="eastAsia"/>
        </w:rPr>
      </w:pPr>
    </w:p>
    <w:p w:rsidR="00A10D7E" w:rsidRDefault="00A10D7E" w:rsidP="00A10D7E">
      <w:pPr>
        <w:rPr>
          <w:rFonts w:hint="eastAsia"/>
        </w:rPr>
      </w:pPr>
    </w:p>
    <w:p w:rsidR="000E512E" w:rsidRDefault="000E512E" w:rsidP="00A10D7E">
      <w:pPr>
        <w:rPr>
          <w:rFonts w:hint="eastAsia"/>
        </w:rPr>
      </w:pPr>
      <w:r>
        <w:rPr>
          <w:rFonts w:hint="eastAsia"/>
          <w:noProof/>
        </w:rPr>
        <w:drawing>
          <wp:anchor distT="0" distB="0" distL="114300" distR="114300" simplePos="0" relativeHeight="251659775" behindDoc="1" locked="0" layoutInCell="1" allowOverlap="1" wp14:anchorId="588A5E1A" wp14:editId="4F48F9AA">
            <wp:simplePos x="0" y="0"/>
            <wp:positionH relativeFrom="column">
              <wp:posOffset>1374610</wp:posOffset>
            </wp:positionH>
            <wp:positionV relativeFrom="paragraph">
              <wp:posOffset>149060</wp:posOffset>
            </wp:positionV>
            <wp:extent cx="4230370" cy="63627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0370"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D7E" w:rsidRDefault="006E45CE" w:rsidP="00A10D7E">
      <w:pPr>
        <w:rPr>
          <w:rFonts w:hint="eastAsia"/>
        </w:rPr>
      </w:pPr>
      <w:r>
        <w:rPr>
          <w:noProof/>
        </w:rPr>
        <mc:AlternateContent>
          <mc:Choice Requires="wps">
            <w:drawing>
              <wp:anchor distT="0" distB="0" distL="114300" distR="114300" simplePos="0" relativeHeight="251658751" behindDoc="0" locked="0" layoutInCell="1" allowOverlap="1" wp14:anchorId="3D61B750" wp14:editId="68C250A0">
                <wp:simplePos x="0" y="0"/>
                <wp:positionH relativeFrom="column">
                  <wp:posOffset>715010</wp:posOffset>
                </wp:positionH>
                <wp:positionV relativeFrom="paragraph">
                  <wp:posOffset>13556</wp:posOffset>
                </wp:positionV>
                <wp:extent cx="3482340" cy="54356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543560"/>
                        </a:xfrm>
                        <a:prstGeom prst="rect">
                          <a:avLst/>
                        </a:prstGeom>
                        <a:noFill/>
                        <a:ln w="9525">
                          <a:noFill/>
                          <a:miter lim="800000"/>
                          <a:headEnd/>
                          <a:tailEnd/>
                        </a:ln>
                      </wps:spPr>
                      <wps:txbx>
                        <w:txbxContent>
                          <w:p w:rsidR="000E512E" w:rsidRPr="000E512E" w:rsidRDefault="000E512E" w:rsidP="000E512E">
                            <w:pPr>
                              <w:jc w:val="center"/>
                              <w:rPr>
                                <w:rFonts w:hint="eastAsia"/>
                                <w:b/>
                                <w:i/>
                                <w:sz w:val="36"/>
                                <w:u w:val="double"/>
                              </w:rPr>
                            </w:pPr>
                            <w:r w:rsidRPr="000E512E">
                              <w:rPr>
                                <w:rFonts w:hint="eastAsia"/>
                                <w:b/>
                                <w:i/>
                                <w:sz w:val="36"/>
                                <w:u w:val="double"/>
                              </w:rPr>
                              <w:t>「量的成長から質的成長へ」</w:t>
                            </w:r>
                          </w:p>
                          <w:p w:rsidR="000E512E" w:rsidRPr="000E512E" w:rsidRDefault="000E512E">
                            <w:pPr>
                              <w:rPr>
                                <w:sz w:val="36"/>
                                <w:u w:val="doub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3pt;margin-top:1.05pt;width:274.2pt;height:42.8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" filled="f" stroked="f">
                <v:textbox>
                  <w:txbxContent>
                    <w:p w:rsidR="000E512E" w:rsidRPr="000E512E" w:rsidRDefault="000E512E" w:rsidP="000E512E">
                      <w:pPr>
                        <w:jc w:val="center"/>
                        <w:rPr>
                          <w:rFonts w:hint="eastAsia"/>
                          <w:b/>
                          <w:i/>
                          <w:sz w:val="36"/>
                          <w:u w:val="double"/>
                        </w:rPr>
                      </w:pPr>
                      <w:r w:rsidRPr="000E512E">
                        <w:rPr>
                          <w:rFonts w:hint="eastAsia"/>
                          <w:b/>
                          <w:i/>
                          <w:sz w:val="36"/>
                          <w:u w:val="double"/>
                        </w:rPr>
                        <w:t>「量的成長から質的成長へ」</w:t>
                      </w:r>
                    </w:p>
                    <w:p w:rsidR="000E512E" w:rsidRPr="000E512E" w:rsidRDefault="000E512E">
                      <w:pPr>
                        <w:rPr>
                          <w:sz w:val="36"/>
                          <w:u w:val="double"/>
                        </w:rPr>
                      </w:pPr>
                    </w:p>
                  </w:txbxContent>
                </v:textbox>
              </v:shape>
            </w:pict>
          </mc:Fallback>
        </mc:AlternateContent>
      </w:r>
    </w:p>
    <w:p w:rsidR="00A10D7E" w:rsidRDefault="00A10D7E" w:rsidP="00A10D7E">
      <w:pPr>
        <w:rPr>
          <w:rFonts w:hint="eastAsia"/>
        </w:rPr>
      </w:pPr>
    </w:p>
    <w:p w:rsidR="000E512E" w:rsidRDefault="000E512E" w:rsidP="00A10D7E">
      <w:pPr>
        <w:rPr>
          <w:rFonts w:hint="eastAsia"/>
        </w:rPr>
      </w:pPr>
    </w:p>
    <w:p w:rsidR="00A10D7E" w:rsidRDefault="00657412" w:rsidP="00A10D7E">
      <w:pPr>
        <w:rPr>
          <w:rFonts w:hint="eastAsia"/>
        </w:rPr>
      </w:pPr>
      <w:r>
        <w:rPr>
          <w:rFonts w:hint="eastAsia"/>
        </w:rPr>
        <w:t xml:space="preserve">　日本が真に幸福な国となるために、</w:t>
      </w:r>
      <w:r>
        <w:rPr>
          <w:rFonts w:hint="eastAsia"/>
        </w:rPr>
        <w:t>21</w:t>
      </w:r>
      <w:r>
        <w:rPr>
          <w:rFonts w:hint="eastAsia"/>
        </w:rPr>
        <w:t>世紀では質的成長を目標とすべきである。教育、高齢者支援、安全保障といった生活質的向上こそが人々に幸福を与える。</w:t>
      </w:r>
    </w:p>
    <w:p w:rsidR="00657412" w:rsidRDefault="00657412" w:rsidP="00A10D7E">
      <w:pPr>
        <w:rPr>
          <w:rFonts w:hint="eastAsia"/>
        </w:rPr>
      </w:pPr>
      <w:r>
        <w:rPr>
          <w:rFonts w:hint="eastAsia"/>
        </w:rPr>
        <w:t xml:space="preserve">　</w:t>
      </w:r>
      <w:r w:rsidR="00F0522D">
        <w:rPr>
          <w:rFonts w:hint="eastAsia"/>
        </w:rPr>
        <w:t>生活の質を向上させるために、</w:t>
      </w:r>
      <w:r w:rsidR="00F0522D">
        <w:rPr>
          <w:rFonts w:hint="eastAsia"/>
        </w:rPr>
        <w:t>GDP</w:t>
      </w:r>
      <w:r w:rsidR="00F0522D">
        <w:rPr>
          <w:rFonts w:hint="eastAsia"/>
        </w:rPr>
        <w:t>のような生産指標ではなく、消費・所得指標を注視</w:t>
      </w:r>
      <w:bookmarkStart w:id="0" w:name="_GoBack"/>
      <w:bookmarkEnd w:id="0"/>
      <w:r w:rsidR="00F0522D">
        <w:rPr>
          <w:rFonts w:hint="eastAsia"/>
        </w:rPr>
        <w:t>する。市場ベースではなく、生活の質に大きな影響を与える余暇や家計労働の状況も</w:t>
      </w:r>
      <w:r w:rsidR="00A55BDB">
        <w:rPr>
          <w:rFonts w:hint="eastAsia"/>
        </w:rPr>
        <w:t>おおいに考慮する</w:t>
      </w:r>
      <w:r w:rsidR="00F0522D">
        <w:rPr>
          <w:rFonts w:hint="eastAsia"/>
        </w:rPr>
        <w:t>。さらに、一人あたりの</w:t>
      </w:r>
      <w:r w:rsidR="00F0522D">
        <w:rPr>
          <w:rFonts w:hint="eastAsia"/>
        </w:rPr>
        <w:t>GDP</w:t>
      </w:r>
      <w:r w:rsidR="00F0522D">
        <w:rPr>
          <w:rFonts w:hint="eastAsia"/>
        </w:rPr>
        <w:t>などの平均指標は格差を示せない。</w:t>
      </w:r>
      <w:r w:rsidR="00A55BDB">
        <w:rPr>
          <w:rFonts w:hint="eastAsia"/>
        </w:rPr>
        <w:t>平均指標にとらわれず、</w:t>
      </w:r>
      <w:r w:rsidR="00F0522D">
        <w:rPr>
          <w:rFonts w:hint="eastAsia"/>
        </w:rPr>
        <w:t>貧困・不平等をより配慮</w:t>
      </w:r>
      <w:r w:rsidR="00A55BDB">
        <w:rPr>
          <w:rFonts w:hint="eastAsia"/>
        </w:rPr>
        <w:t>する</w:t>
      </w:r>
      <w:r w:rsidR="00F0522D">
        <w:rPr>
          <w:rFonts w:hint="eastAsia"/>
        </w:rPr>
        <w:t>。今までなかなか解決されない問題の多くに、生活の質を重視する国家政策</w:t>
      </w:r>
      <w:r w:rsidR="00A43B5A">
        <w:rPr>
          <w:rFonts w:hint="eastAsia"/>
        </w:rPr>
        <w:t>で</w:t>
      </w:r>
      <w:r w:rsidR="00F0522D">
        <w:rPr>
          <w:rFonts w:hint="eastAsia"/>
        </w:rPr>
        <w:t>解決の道を示</w:t>
      </w:r>
      <w:r w:rsidR="00A43B5A">
        <w:rPr>
          <w:rFonts w:hint="eastAsia"/>
        </w:rPr>
        <w:t>す</w:t>
      </w:r>
      <w:r w:rsidR="00F0522D">
        <w:rPr>
          <w:rFonts w:hint="eastAsia"/>
        </w:rPr>
        <w:t>。</w:t>
      </w:r>
    </w:p>
    <w:p w:rsidR="00F0522D" w:rsidRDefault="00F0522D" w:rsidP="00A10D7E">
      <w:pPr>
        <w:rPr>
          <w:rFonts w:hint="eastAsia"/>
        </w:rPr>
      </w:pPr>
      <w:r>
        <w:rPr>
          <w:rFonts w:hint="eastAsia"/>
        </w:rPr>
        <w:t xml:space="preserve">　そして、質的成長</w:t>
      </w:r>
      <w:r w:rsidR="00A55BDB">
        <w:rPr>
          <w:rFonts w:hint="eastAsia"/>
        </w:rPr>
        <w:t>を進めていくためには、客観的に状況を把握することができる指標が重要不可欠である。</w:t>
      </w:r>
      <w:r w:rsidR="00A55BDB" w:rsidRPr="00A55BDB">
        <w:rPr>
          <w:rFonts w:hint="eastAsia"/>
        </w:rPr>
        <w:t>そこで、生活の質指標として国民総幸福量（</w:t>
      </w:r>
      <w:r w:rsidR="00A55BDB" w:rsidRPr="00A55BDB">
        <w:rPr>
          <w:rFonts w:hint="eastAsia"/>
        </w:rPr>
        <w:t>Gross</w:t>
      </w:r>
      <w:r w:rsidR="00A55BDB" w:rsidRPr="00A55BDB">
        <w:rPr>
          <w:rFonts w:hint="eastAsia"/>
        </w:rPr>
        <w:t xml:space="preserve">　</w:t>
      </w:r>
      <w:r w:rsidR="00A55BDB" w:rsidRPr="00A55BDB">
        <w:rPr>
          <w:rFonts w:hint="eastAsia"/>
        </w:rPr>
        <w:t>National</w:t>
      </w:r>
      <w:r w:rsidR="00A55BDB" w:rsidRPr="00A55BDB">
        <w:rPr>
          <w:rFonts w:hint="eastAsia"/>
        </w:rPr>
        <w:t xml:space="preserve">　</w:t>
      </w:r>
      <w:r w:rsidR="00A55BDB" w:rsidRPr="00A55BDB">
        <w:rPr>
          <w:rFonts w:hint="eastAsia"/>
        </w:rPr>
        <w:t>Happiness</w:t>
      </w:r>
      <w:r w:rsidR="00A55BDB" w:rsidRPr="00A55BDB">
        <w:rPr>
          <w:rFonts w:hint="eastAsia"/>
        </w:rPr>
        <w:t>：</w:t>
      </w:r>
      <w:r w:rsidR="00A55BDB" w:rsidRPr="00A55BDB">
        <w:rPr>
          <w:rFonts w:hint="eastAsia"/>
        </w:rPr>
        <w:t>GNH</w:t>
      </w:r>
      <w:r w:rsidR="00A43B5A">
        <w:rPr>
          <w:rFonts w:hint="eastAsia"/>
        </w:rPr>
        <w:t>）を全面的に導入していく</w:t>
      </w:r>
      <w:r w:rsidR="00A55BDB" w:rsidRPr="00A55BDB">
        <w:rPr>
          <w:rFonts w:hint="eastAsia"/>
        </w:rPr>
        <w:t>。</w:t>
      </w:r>
      <w:r w:rsidR="00A55BDB" w:rsidRPr="00A55BDB">
        <w:rPr>
          <w:rFonts w:hint="eastAsia"/>
        </w:rPr>
        <w:t>1970</w:t>
      </w:r>
      <w:r w:rsidR="00A55BDB" w:rsidRPr="00A55BDB">
        <w:rPr>
          <w:rFonts w:hint="eastAsia"/>
        </w:rPr>
        <w:t>年代から長きにわたり</w:t>
      </w:r>
      <w:r w:rsidR="00A55BDB" w:rsidRPr="00A55BDB">
        <w:rPr>
          <w:rFonts w:hint="eastAsia"/>
        </w:rPr>
        <w:t>GNH</w:t>
      </w:r>
      <w:r w:rsidR="00A55BDB" w:rsidRPr="00A55BDB">
        <w:rPr>
          <w:rFonts w:hint="eastAsia"/>
        </w:rPr>
        <w:t>増大を国策に掲げている</w:t>
      </w:r>
      <w:r w:rsidR="00A55BDB">
        <w:rPr>
          <w:rFonts w:hint="eastAsia"/>
        </w:rPr>
        <w:t>ブータンは、インフラ設備も十分に整っていない発展途上国であるにも関わらず、国民総幸福度ランキングで上位に入る。</w:t>
      </w:r>
      <w:r w:rsidR="00A55BDB" w:rsidRPr="00A55BDB">
        <w:rPr>
          <w:rFonts w:hint="eastAsia"/>
        </w:rPr>
        <w:t>国民の多くが幸福だと感じられる国づくりを</w:t>
      </w:r>
      <w:r w:rsidR="00A55BDB" w:rsidRPr="00A55BDB">
        <w:rPr>
          <w:rFonts w:hint="eastAsia"/>
        </w:rPr>
        <w:t>GNH</w:t>
      </w:r>
      <w:r w:rsidR="00A55BDB" w:rsidRPr="00A55BDB">
        <w:rPr>
          <w:rFonts w:hint="eastAsia"/>
        </w:rPr>
        <w:t>の増大を目標に掲げることで成し遂げたブータンの取り組みは経済成長が幸福な暮らしをもたらしているのではないということを明らかにしている</w:t>
      </w:r>
      <w:r w:rsidR="00A43B5A">
        <w:rPr>
          <w:rFonts w:hint="eastAsia"/>
        </w:rPr>
        <w:t>点において新たに日本が目指すべきである道であることを示している。</w:t>
      </w:r>
      <w:r w:rsidR="0069335E">
        <w:rPr>
          <w:rFonts w:hint="eastAsia"/>
        </w:rPr>
        <w:t>この取り組みを、大いに参考にしていく。</w:t>
      </w:r>
    </w:p>
    <w:p w:rsidR="00A55BDB" w:rsidRPr="00657412" w:rsidRDefault="00A55BDB" w:rsidP="00A10D7E">
      <w:r>
        <w:rPr>
          <w:rFonts w:hint="eastAsia"/>
        </w:rPr>
        <w:t xml:space="preserve">　</w:t>
      </w:r>
      <w:r w:rsidRPr="00A55BDB">
        <w:rPr>
          <w:rFonts w:hint="eastAsia"/>
        </w:rPr>
        <w:t>１００年後、日本国民が生き生きと暮らすことのできる国で</w:t>
      </w:r>
      <w:r>
        <w:rPr>
          <w:rFonts w:hint="eastAsia"/>
        </w:rPr>
        <w:t>あるために、経済成長から質的成長へのパラダイムシフト転換に全力で取り組んでいく</w:t>
      </w:r>
      <w:r w:rsidRPr="00A55BDB">
        <w:rPr>
          <w:rFonts w:hint="eastAsia"/>
        </w:rPr>
        <w:t>。</w:t>
      </w:r>
    </w:p>
    <w:sectPr w:rsidR="00A55BDB" w:rsidRPr="006574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erpetua">
    <w:altName w:val="Times New Roman"/>
    <w:panose1 w:val="00000000000000000000"/>
    <w:charset w:val="00"/>
    <w:family w:val="roman"/>
    <w:notTrueType/>
    <w:pitch w:val="default"/>
  </w:font>
  <w:font w:name="HG創英ﾌﾟﾚｾﾞﾝｽE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Franklin Gothic Book">
    <w:altName w:val="Times New Roman"/>
    <w:panose1 w:val="00000000000000000000"/>
    <w:charset w:val="00"/>
    <w:family w:val="roman"/>
    <w:notTrueType/>
    <w:pitch w:val="default"/>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94"/>
    <w:rsid w:val="000E512E"/>
    <w:rsid w:val="004D2A94"/>
    <w:rsid w:val="00657412"/>
    <w:rsid w:val="0069335E"/>
    <w:rsid w:val="006E45CE"/>
    <w:rsid w:val="00724B50"/>
    <w:rsid w:val="0081518E"/>
    <w:rsid w:val="00A10D7E"/>
    <w:rsid w:val="00A43B5A"/>
    <w:rsid w:val="00A55BDB"/>
    <w:rsid w:val="00F0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B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B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B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B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ジャパネスク">
  <a:themeElements>
    <a:clrScheme name="ジャパネスク">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ジャパネスク">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ジャパネスク">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ryoji</dc:creator>
  <cp:lastModifiedBy>ryoji</cp:lastModifiedBy>
  <cp:revision>1</cp:revision>
  <dcterms:created xsi:type="dcterms:W3CDTF">2012-09-20T15:51:00Z</dcterms:created>
  <dcterms:modified xsi:type="dcterms:W3CDTF">2012-09-21T03:36:00Z</dcterms:modified>
</cp:coreProperties>
</file>