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68" w:rsidRDefault="00D81568" w:rsidP="00D81568">
      <w:pPr>
        <w:jc w:val="center"/>
        <w:rPr>
          <w:i/>
          <w:sz w:val="40"/>
          <w:szCs w:val="40"/>
        </w:rPr>
      </w:pPr>
      <w:r>
        <w:rPr>
          <w:rFonts w:hint="eastAsia"/>
          <w:i/>
          <w:sz w:val="40"/>
          <w:szCs w:val="40"/>
        </w:rPr>
        <w:t>「１００年後の日本を考える」</w:t>
      </w:r>
    </w:p>
    <w:p w:rsidR="001C1731" w:rsidRDefault="001C1731" w:rsidP="001C1731">
      <w:pPr>
        <w:wordWrap w:val="0"/>
        <w:jc w:val="right"/>
        <w:rPr>
          <w:b/>
          <w:sz w:val="24"/>
          <w:szCs w:val="24"/>
        </w:rPr>
      </w:pPr>
      <w:r>
        <w:rPr>
          <w:rFonts w:hint="eastAsia"/>
          <w:b/>
          <w:sz w:val="24"/>
          <w:szCs w:val="24"/>
        </w:rPr>
        <w:t>戸屋　枝梨香</w:t>
      </w:r>
    </w:p>
    <w:p w:rsidR="00AE0F29" w:rsidRPr="009002D7" w:rsidRDefault="001873AF" w:rsidP="00555EE8">
      <w:pPr>
        <w:jc w:val="left"/>
        <w:rPr>
          <w:b/>
          <w:szCs w:val="21"/>
          <w:bdr w:val="single" w:sz="4" w:space="0" w:color="auto"/>
        </w:rPr>
      </w:pPr>
      <w:r>
        <w:rPr>
          <w:rFonts w:hint="eastAsia"/>
          <w:b/>
          <w:szCs w:val="21"/>
        </w:rPr>
        <w:t>100</w:t>
      </w:r>
      <w:r>
        <w:rPr>
          <w:rFonts w:hint="eastAsia"/>
          <w:b/>
          <w:szCs w:val="21"/>
        </w:rPr>
        <w:t>年後を見据えるにあたっての私の問題意識として何より</w:t>
      </w:r>
      <w:r w:rsidR="001C1731" w:rsidRPr="009002D7">
        <w:rPr>
          <w:rFonts w:hint="eastAsia"/>
          <w:b/>
          <w:szCs w:val="21"/>
          <w:bdr w:val="single" w:sz="4" w:space="0" w:color="auto"/>
        </w:rPr>
        <w:t>教育面</w:t>
      </w:r>
      <w:r>
        <w:rPr>
          <w:rFonts w:hint="eastAsia"/>
          <w:b/>
          <w:szCs w:val="21"/>
        </w:rPr>
        <w:t>があげられる</w:t>
      </w:r>
    </w:p>
    <w:p w:rsidR="00D81568" w:rsidRPr="009002D7" w:rsidRDefault="00E42942" w:rsidP="001C1731">
      <w:pPr>
        <w:jc w:val="left"/>
        <w:rPr>
          <w:b/>
          <w:szCs w:val="21"/>
          <w:bdr w:val="single" w:sz="4" w:space="0" w:color="auto"/>
        </w:rPr>
      </w:pPr>
      <w:r w:rsidRPr="009002D7">
        <w:rPr>
          <w:rFonts w:hint="eastAsia"/>
          <w:b/>
          <w:szCs w:val="21"/>
        </w:rPr>
        <w:t>～</w:t>
      </w:r>
      <w:r w:rsidR="00D81568" w:rsidRPr="009002D7">
        <w:rPr>
          <w:rFonts w:hint="eastAsia"/>
          <w:b/>
          <w:szCs w:val="21"/>
        </w:rPr>
        <w:t>現在の問題点</w:t>
      </w:r>
      <w:r w:rsidRPr="009002D7">
        <w:rPr>
          <w:rFonts w:hint="eastAsia"/>
          <w:b/>
          <w:szCs w:val="21"/>
        </w:rPr>
        <w:t>～</w:t>
      </w:r>
    </w:p>
    <w:p w:rsidR="001C1731" w:rsidRPr="009002D7" w:rsidRDefault="00465115" w:rsidP="001C1731">
      <w:pPr>
        <w:jc w:val="left"/>
        <w:rPr>
          <w:b/>
          <w:szCs w:val="21"/>
        </w:rPr>
      </w:pPr>
      <w:r w:rsidRPr="009002D7">
        <w:rPr>
          <w:rFonts w:hint="eastAsia"/>
          <w:b/>
          <w:szCs w:val="21"/>
        </w:rPr>
        <w:t>・学力低下</w:t>
      </w:r>
    </w:p>
    <w:p w:rsidR="00465115" w:rsidRPr="009002D7" w:rsidRDefault="00E42942" w:rsidP="001C1731">
      <w:pPr>
        <w:jc w:val="left"/>
        <w:rPr>
          <w:b/>
          <w:szCs w:val="21"/>
        </w:rPr>
      </w:pPr>
      <w:r w:rsidRPr="009002D7">
        <w:rPr>
          <w:rFonts w:hint="eastAsia"/>
          <w:b/>
          <w:szCs w:val="21"/>
        </w:rPr>
        <w:t>・教師の指導力不足</w:t>
      </w:r>
    </w:p>
    <w:p w:rsidR="00E42942" w:rsidRPr="009002D7" w:rsidRDefault="00E42942" w:rsidP="001C1731">
      <w:pPr>
        <w:jc w:val="left"/>
        <w:rPr>
          <w:b/>
          <w:szCs w:val="21"/>
        </w:rPr>
      </w:pPr>
      <w:r w:rsidRPr="009002D7">
        <w:rPr>
          <w:rFonts w:hint="eastAsia"/>
          <w:b/>
          <w:szCs w:val="21"/>
        </w:rPr>
        <w:t>・校内暴力、不登校</w:t>
      </w:r>
    </w:p>
    <w:p w:rsidR="00E42942" w:rsidRPr="009002D7" w:rsidRDefault="009002D7" w:rsidP="001C1731">
      <w:pPr>
        <w:jc w:val="left"/>
        <w:rPr>
          <w:b/>
          <w:szCs w:val="21"/>
        </w:rPr>
      </w:pPr>
      <w:r w:rsidRPr="009002D7">
        <w:rPr>
          <w:rFonts w:hint="eastAsia"/>
          <w:b/>
          <w:szCs w:val="21"/>
        </w:rPr>
        <w:t>・いじめ</w:t>
      </w:r>
    </w:p>
    <w:p w:rsidR="00555EE8" w:rsidRDefault="00555EE8" w:rsidP="001C1731">
      <w:pPr>
        <w:jc w:val="left"/>
        <w:rPr>
          <w:rFonts w:hint="eastAsia"/>
          <w:b/>
          <w:szCs w:val="21"/>
        </w:rPr>
      </w:pPr>
    </w:p>
    <w:p w:rsidR="00555EE8" w:rsidRDefault="00777B45" w:rsidP="001C1731">
      <w:pPr>
        <w:jc w:val="left"/>
        <w:rPr>
          <w:rFonts w:hint="eastAsia"/>
          <w:b/>
          <w:szCs w:val="21"/>
        </w:rPr>
      </w:pPr>
      <w:r>
        <w:rPr>
          <w:rFonts w:hint="eastAsia"/>
          <w:b/>
          <w:szCs w:val="21"/>
        </w:rPr>
        <w:t>世界的にみた学力として</w:t>
      </w:r>
      <w:r>
        <w:rPr>
          <w:rFonts w:hint="eastAsia"/>
          <w:b/>
          <w:szCs w:val="21"/>
        </w:rPr>
        <w:t>2000</w:t>
      </w:r>
      <w:r>
        <w:rPr>
          <w:rFonts w:hint="eastAsia"/>
          <w:b/>
          <w:szCs w:val="21"/>
        </w:rPr>
        <w:t>年から</w:t>
      </w:r>
      <w:r>
        <w:rPr>
          <w:rFonts w:hint="eastAsia"/>
          <w:b/>
          <w:szCs w:val="21"/>
        </w:rPr>
        <w:t>2009</w:t>
      </w:r>
      <w:r>
        <w:rPr>
          <w:rFonts w:hint="eastAsia"/>
          <w:b/>
          <w:szCs w:val="21"/>
        </w:rPr>
        <w:t>年</w:t>
      </w:r>
      <w:r>
        <w:rPr>
          <w:rFonts w:hint="eastAsia"/>
          <w:b/>
          <w:szCs w:val="21"/>
        </w:rPr>
        <w:t>PISA</w:t>
      </w:r>
      <w:r>
        <w:rPr>
          <w:rFonts w:hint="eastAsia"/>
          <w:b/>
          <w:szCs w:val="21"/>
        </w:rPr>
        <w:t>の結果をみてみる</w:t>
      </w:r>
    </w:p>
    <w:p w:rsidR="00777B45" w:rsidRDefault="00777B45" w:rsidP="00777B45">
      <w:pPr>
        <w:jc w:val="left"/>
        <w:rPr>
          <w:rFonts w:hint="eastAsia"/>
          <w:b/>
          <w:szCs w:val="21"/>
        </w:rPr>
      </w:pPr>
      <w:r w:rsidRPr="00777B45">
        <w:rPr>
          <w:rFonts w:hint="eastAsia"/>
          <w:b/>
          <w:szCs w:val="21"/>
        </w:rPr>
        <w:t>読解力・数学的応用力・科学的応用力</w:t>
      </w:r>
      <w:r>
        <w:rPr>
          <w:rFonts w:hint="eastAsia"/>
          <w:b/>
          <w:szCs w:val="21"/>
        </w:rPr>
        <w:t>があるが今回は</w:t>
      </w:r>
    </w:p>
    <w:p w:rsidR="00777B45" w:rsidRPr="00777B45" w:rsidRDefault="00777B45" w:rsidP="00777B45">
      <w:pPr>
        <w:jc w:val="left"/>
        <w:rPr>
          <w:b/>
          <w:szCs w:val="21"/>
        </w:rPr>
      </w:pPr>
      <w:r>
        <w:rPr>
          <w:b/>
          <w:szCs w:val="21"/>
        </w:rPr>
        <w:t>「読解力」の国別ランキング</w:t>
      </w:r>
      <w:r w:rsidRPr="00777B45">
        <w:rPr>
          <w:b/>
          <w:szCs w:val="21"/>
        </w:rPr>
        <w:t xml:space="preserve"> </w:t>
      </w:r>
    </w:p>
    <w:p w:rsidR="00777B45" w:rsidRDefault="00777B45" w:rsidP="00777B45">
      <w:pPr>
        <w:jc w:val="left"/>
        <w:rPr>
          <w:rFonts w:hint="eastAsia"/>
          <w:b/>
          <w:szCs w:val="21"/>
        </w:rPr>
      </w:pPr>
      <w:r w:rsidRPr="00777B45">
        <w:rPr>
          <w:b/>
          <w:szCs w:val="21"/>
        </w:rPr>
        <w:drawing>
          <wp:inline distT="0" distB="0" distL="0" distR="0">
            <wp:extent cx="5095875" cy="3638550"/>
            <wp:effectExtent l="0" t="0" r="9525" b="0"/>
            <wp:docPr id="1" name="図 1" descr="PISA200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2009-2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3638550"/>
                    </a:xfrm>
                    <a:prstGeom prst="rect">
                      <a:avLst/>
                    </a:prstGeom>
                    <a:noFill/>
                    <a:ln>
                      <a:noFill/>
                    </a:ln>
                  </pic:spPr>
                </pic:pic>
              </a:graphicData>
            </a:graphic>
          </wp:inline>
        </w:drawing>
      </w:r>
    </w:p>
    <w:p w:rsidR="00777B45" w:rsidRPr="00777B45" w:rsidRDefault="00777B45" w:rsidP="00777B45">
      <w:pPr>
        <w:jc w:val="left"/>
        <w:rPr>
          <w:b/>
          <w:szCs w:val="21"/>
        </w:rPr>
      </w:pPr>
    </w:p>
    <w:p w:rsidR="00777B45" w:rsidRPr="00777B45" w:rsidRDefault="00777B45" w:rsidP="001C1731">
      <w:pPr>
        <w:jc w:val="left"/>
        <w:rPr>
          <w:rFonts w:hint="eastAsia"/>
          <w:b/>
          <w:szCs w:val="21"/>
        </w:rPr>
      </w:pPr>
    </w:p>
    <w:p w:rsidR="00777B45" w:rsidRDefault="009363BE" w:rsidP="001C1731">
      <w:pPr>
        <w:jc w:val="left"/>
        <w:rPr>
          <w:rFonts w:hint="eastAsia"/>
          <w:b/>
          <w:szCs w:val="21"/>
        </w:rPr>
      </w:pPr>
      <w:r>
        <w:rPr>
          <w:rFonts w:hint="eastAsia"/>
          <w:b/>
          <w:szCs w:val="21"/>
        </w:rPr>
        <w:t>教師の指導力不足　主に次のようなケース</w:t>
      </w:r>
    </w:p>
    <w:p w:rsidR="009363BE" w:rsidRPr="009363BE" w:rsidRDefault="009363BE" w:rsidP="009363BE">
      <w:pPr>
        <w:jc w:val="left"/>
        <w:rPr>
          <w:rFonts w:hint="eastAsia"/>
          <w:b/>
          <w:szCs w:val="21"/>
        </w:rPr>
      </w:pPr>
      <w:r>
        <w:rPr>
          <w:rFonts w:hint="eastAsia"/>
          <w:b/>
          <w:szCs w:val="21"/>
        </w:rPr>
        <w:t>１</w:t>
      </w:r>
      <w:r w:rsidRPr="009363BE">
        <w:rPr>
          <w:rFonts w:hint="eastAsia"/>
          <w:b/>
          <w:szCs w:val="21"/>
        </w:rPr>
        <w:t xml:space="preserve"> </w:t>
      </w:r>
      <w:r w:rsidRPr="009363BE">
        <w:rPr>
          <w:rFonts w:hint="eastAsia"/>
          <w:b/>
          <w:szCs w:val="21"/>
        </w:rPr>
        <w:t>子どもとのコミュニケーションがうまくとれない</w:t>
      </w:r>
    </w:p>
    <w:p w:rsidR="009363BE" w:rsidRPr="009363BE" w:rsidRDefault="009363BE" w:rsidP="009363BE">
      <w:pPr>
        <w:jc w:val="left"/>
        <w:rPr>
          <w:rFonts w:hint="eastAsia"/>
          <w:b/>
          <w:szCs w:val="21"/>
        </w:rPr>
      </w:pPr>
      <w:r w:rsidRPr="009363BE">
        <w:rPr>
          <w:rFonts w:hint="eastAsia"/>
          <w:b/>
          <w:szCs w:val="21"/>
        </w:rPr>
        <w:t>(1)</w:t>
      </w:r>
      <w:r w:rsidRPr="009363BE">
        <w:rPr>
          <w:rFonts w:hint="eastAsia"/>
          <w:b/>
          <w:szCs w:val="21"/>
        </w:rPr>
        <w:t>子どもとコミュニケーションをしない</w:t>
      </w:r>
    </w:p>
    <w:p w:rsidR="009363BE" w:rsidRPr="009363BE" w:rsidRDefault="009363BE" w:rsidP="009363BE">
      <w:pPr>
        <w:jc w:val="left"/>
        <w:rPr>
          <w:rFonts w:hint="eastAsia"/>
          <w:b/>
          <w:szCs w:val="21"/>
        </w:rPr>
      </w:pPr>
      <w:r w:rsidRPr="009363BE">
        <w:rPr>
          <w:rFonts w:hint="eastAsia"/>
          <w:b/>
          <w:szCs w:val="21"/>
        </w:rPr>
        <w:t>コミュニケーションを子どもた</w:t>
      </w:r>
      <w:r>
        <w:rPr>
          <w:rFonts w:hint="eastAsia"/>
          <w:b/>
          <w:szCs w:val="21"/>
        </w:rPr>
        <w:t>ちと取ろうとしない</w:t>
      </w:r>
    </w:p>
    <w:p w:rsidR="009363BE" w:rsidRPr="009363BE" w:rsidRDefault="009363BE" w:rsidP="009363BE">
      <w:pPr>
        <w:jc w:val="left"/>
        <w:rPr>
          <w:rFonts w:hint="eastAsia"/>
          <w:b/>
          <w:szCs w:val="21"/>
        </w:rPr>
      </w:pPr>
      <w:r w:rsidRPr="009363BE">
        <w:rPr>
          <w:rFonts w:hint="eastAsia"/>
          <w:b/>
          <w:szCs w:val="21"/>
        </w:rPr>
        <w:t>授業が一方的な説明で始まり、子どもが理解できたかどうかは、形式的な「いいですか」</w:t>
      </w:r>
      <w:r w:rsidRPr="009363BE">
        <w:rPr>
          <w:rFonts w:hint="eastAsia"/>
          <w:b/>
          <w:szCs w:val="21"/>
        </w:rPr>
        <w:lastRenderedPageBreak/>
        <w:t>の一言で終わる。子どもが居眠り、おしゃべりしていても無視する。問題を解かせる間、黒板の前でじっと立っている。子どもが解く途中であろうが時間になったら、解答をして授業を終わる。</w:t>
      </w:r>
    </w:p>
    <w:p w:rsidR="009363BE" w:rsidRPr="009363BE" w:rsidRDefault="009363BE" w:rsidP="009363BE">
      <w:pPr>
        <w:jc w:val="left"/>
        <w:rPr>
          <w:rFonts w:hint="eastAsia"/>
          <w:b/>
          <w:szCs w:val="21"/>
        </w:rPr>
      </w:pPr>
      <w:r w:rsidRPr="009363BE">
        <w:rPr>
          <w:rFonts w:hint="eastAsia"/>
          <w:b/>
          <w:szCs w:val="21"/>
        </w:rPr>
        <w:t>(2)</w:t>
      </w:r>
      <w:r w:rsidRPr="009363BE">
        <w:rPr>
          <w:rFonts w:hint="eastAsia"/>
          <w:b/>
          <w:szCs w:val="21"/>
        </w:rPr>
        <w:t>教師の自己満足のみの独り相撲のコミュニケーション</w:t>
      </w:r>
    </w:p>
    <w:p w:rsidR="009363BE" w:rsidRPr="009363BE" w:rsidRDefault="009363BE" w:rsidP="009363BE">
      <w:pPr>
        <w:jc w:val="left"/>
        <w:rPr>
          <w:rFonts w:hint="eastAsia"/>
          <w:b/>
          <w:szCs w:val="21"/>
        </w:rPr>
      </w:pPr>
      <w:r w:rsidRPr="009363BE">
        <w:rPr>
          <w:rFonts w:hint="eastAsia"/>
          <w:b/>
          <w:szCs w:val="21"/>
        </w:rPr>
        <w:t>多弁で笑顔で話しかけ、身振りも大きく、ジョークも言う。教</w:t>
      </w:r>
      <w:r>
        <w:rPr>
          <w:rFonts w:hint="eastAsia"/>
          <w:b/>
          <w:szCs w:val="21"/>
        </w:rPr>
        <w:t>師のみがコミュニケーションできていると勝手に思いこんでいる</w:t>
      </w:r>
      <w:r w:rsidRPr="009363BE">
        <w:rPr>
          <w:rFonts w:hint="eastAsia"/>
          <w:b/>
          <w:szCs w:val="21"/>
        </w:rPr>
        <w:t>。教師だけが自己満足しているだけで、子どもの反応は乏しい。</w:t>
      </w:r>
    </w:p>
    <w:p w:rsidR="009363BE" w:rsidRPr="009363BE" w:rsidRDefault="009363BE" w:rsidP="009363BE">
      <w:pPr>
        <w:jc w:val="left"/>
        <w:rPr>
          <w:rFonts w:hint="eastAsia"/>
          <w:b/>
          <w:szCs w:val="21"/>
        </w:rPr>
      </w:pPr>
      <w:r w:rsidRPr="009363BE">
        <w:rPr>
          <w:rFonts w:hint="eastAsia"/>
          <w:b/>
          <w:szCs w:val="21"/>
        </w:rPr>
        <w:t>教師の一方通</w:t>
      </w:r>
      <w:r>
        <w:rPr>
          <w:rFonts w:hint="eastAsia"/>
          <w:b/>
          <w:szCs w:val="21"/>
        </w:rPr>
        <w:t>行で授業が進んでいく。</w:t>
      </w:r>
    </w:p>
    <w:p w:rsidR="009363BE" w:rsidRPr="009363BE" w:rsidRDefault="009363BE" w:rsidP="009363BE">
      <w:pPr>
        <w:jc w:val="left"/>
        <w:rPr>
          <w:rFonts w:hint="eastAsia"/>
          <w:b/>
          <w:szCs w:val="21"/>
        </w:rPr>
      </w:pPr>
    </w:p>
    <w:p w:rsidR="009363BE" w:rsidRPr="009363BE" w:rsidRDefault="009363BE" w:rsidP="009363BE">
      <w:pPr>
        <w:jc w:val="left"/>
        <w:rPr>
          <w:rFonts w:hint="eastAsia"/>
          <w:b/>
          <w:szCs w:val="21"/>
        </w:rPr>
      </w:pPr>
      <w:r>
        <w:rPr>
          <w:rFonts w:hint="eastAsia"/>
          <w:b/>
          <w:szCs w:val="21"/>
        </w:rPr>
        <w:t>２</w:t>
      </w:r>
      <w:r w:rsidRPr="009363BE">
        <w:rPr>
          <w:rFonts w:hint="eastAsia"/>
          <w:b/>
          <w:szCs w:val="21"/>
        </w:rPr>
        <w:t xml:space="preserve"> </w:t>
      </w:r>
      <w:r w:rsidRPr="009363BE">
        <w:rPr>
          <w:rFonts w:hint="eastAsia"/>
          <w:b/>
          <w:szCs w:val="21"/>
        </w:rPr>
        <w:t>子どもたちをうまく評価したり理解したりできない</w:t>
      </w:r>
    </w:p>
    <w:p w:rsidR="009363BE" w:rsidRDefault="009363BE" w:rsidP="009363BE">
      <w:pPr>
        <w:jc w:val="left"/>
        <w:rPr>
          <w:rFonts w:hint="eastAsia"/>
          <w:b/>
          <w:szCs w:val="21"/>
        </w:rPr>
      </w:pPr>
      <w:r w:rsidRPr="009363BE">
        <w:rPr>
          <w:rFonts w:hint="eastAsia"/>
          <w:b/>
          <w:szCs w:val="21"/>
        </w:rPr>
        <w:t>近年「ほめて伸ばす教育」が主流になっているが、基準もなしに</w:t>
      </w:r>
      <w:r>
        <w:rPr>
          <w:rFonts w:hint="eastAsia"/>
          <w:b/>
          <w:szCs w:val="21"/>
        </w:rPr>
        <w:t>子どもたちを「何でもほめる」タイプの指導力不足教員が特に多い。</w:t>
      </w:r>
    </w:p>
    <w:p w:rsidR="009363BE" w:rsidRPr="009363BE" w:rsidRDefault="009363BE" w:rsidP="009363BE">
      <w:pPr>
        <w:jc w:val="left"/>
        <w:rPr>
          <w:rFonts w:hint="eastAsia"/>
          <w:b/>
          <w:szCs w:val="21"/>
        </w:rPr>
      </w:pPr>
      <w:r w:rsidRPr="009363BE">
        <w:rPr>
          <w:rFonts w:hint="eastAsia"/>
          <w:b/>
          <w:szCs w:val="21"/>
        </w:rPr>
        <w:t>子どもをほめるときは、なにが良いからほめるのか、一定の基準と方向性が必要である。指導力不足教員は、「なぜ、よいと思ったのか」を明確に子どもに伝えることができない。</w:t>
      </w:r>
    </w:p>
    <w:p w:rsidR="009363BE" w:rsidRDefault="009363BE" w:rsidP="001C1731">
      <w:pPr>
        <w:jc w:val="left"/>
        <w:rPr>
          <w:rFonts w:hint="eastAsia"/>
          <w:b/>
          <w:szCs w:val="21"/>
        </w:rPr>
      </w:pPr>
    </w:p>
    <w:p w:rsidR="009363BE" w:rsidRDefault="00DA4F1A" w:rsidP="001C1731">
      <w:pPr>
        <w:jc w:val="left"/>
        <w:rPr>
          <w:rFonts w:hint="eastAsia"/>
          <w:b/>
          <w:szCs w:val="21"/>
        </w:rPr>
      </w:pPr>
      <w:r w:rsidRPr="00DA4F1A">
        <w:rPr>
          <w:rFonts w:hint="eastAsia"/>
          <w:b/>
          <w:szCs w:val="21"/>
        </w:rPr>
        <w:t>文部科学省の児童生徒の問題行動等生徒指導上の諸問題に関する調査から校内暴力発生件数</w:t>
      </w:r>
      <w:r>
        <w:rPr>
          <w:rFonts w:hint="eastAsia"/>
          <w:b/>
          <w:szCs w:val="21"/>
        </w:rPr>
        <w:t>をみてみる</w:t>
      </w:r>
    </w:p>
    <w:p w:rsidR="00DA4F1A" w:rsidRDefault="00DA4F1A" w:rsidP="001C1731">
      <w:pPr>
        <w:jc w:val="left"/>
        <w:rPr>
          <w:rFonts w:hint="eastAsia"/>
          <w:b/>
          <w:szCs w:val="21"/>
        </w:rPr>
      </w:pPr>
      <w:r w:rsidRPr="00DA4F1A">
        <w:rPr>
          <w:rFonts w:hint="eastAsia"/>
          <w:b/>
          <w:szCs w:val="21"/>
        </w:rPr>
        <w:t>生徒</w:t>
      </w:r>
      <w:r w:rsidRPr="00DA4F1A">
        <w:rPr>
          <w:rFonts w:hint="eastAsia"/>
          <w:b/>
          <w:szCs w:val="21"/>
        </w:rPr>
        <w:t>1000</w:t>
      </w:r>
      <w:r w:rsidRPr="00DA4F1A">
        <w:rPr>
          <w:rFonts w:hint="eastAsia"/>
          <w:b/>
          <w:szCs w:val="21"/>
        </w:rPr>
        <w:t>人あたりの校内暴力発生件数第</w:t>
      </w:r>
      <w:r w:rsidRPr="00DA4F1A">
        <w:rPr>
          <w:rFonts w:hint="eastAsia"/>
          <w:b/>
          <w:szCs w:val="21"/>
        </w:rPr>
        <w:t>1</w:t>
      </w:r>
      <w:r w:rsidRPr="00DA4F1A">
        <w:rPr>
          <w:rFonts w:hint="eastAsia"/>
          <w:b/>
          <w:szCs w:val="21"/>
        </w:rPr>
        <w:t>位は神奈川県で</w:t>
      </w:r>
      <w:r w:rsidRPr="00DA4F1A">
        <w:rPr>
          <w:rFonts w:hint="eastAsia"/>
          <w:b/>
          <w:szCs w:val="21"/>
        </w:rPr>
        <w:t>10.19</w:t>
      </w:r>
      <w:r w:rsidRPr="00DA4F1A">
        <w:rPr>
          <w:rFonts w:hint="eastAsia"/>
          <w:b/>
          <w:szCs w:val="21"/>
        </w:rPr>
        <w:t>件。以下、奈良県</w:t>
      </w:r>
      <w:r w:rsidRPr="00DA4F1A">
        <w:rPr>
          <w:rFonts w:hint="eastAsia"/>
          <w:b/>
          <w:szCs w:val="21"/>
        </w:rPr>
        <w:t>(10.14</w:t>
      </w:r>
      <w:r w:rsidRPr="00DA4F1A">
        <w:rPr>
          <w:rFonts w:hint="eastAsia"/>
          <w:b/>
          <w:szCs w:val="21"/>
        </w:rPr>
        <w:t>件</w:t>
      </w:r>
      <w:r w:rsidRPr="00DA4F1A">
        <w:rPr>
          <w:rFonts w:hint="eastAsia"/>
          <w:b/>
          <w:szCs w:val="21"/>
        </w:rPr>
        <w:t>)</w:t>
      </w:r>
      <w:r w:rsidRPr="00DA4F1A">
        <w:rPr>
          <w:rFonts w:hint="eastAsia"/>
          <w:b/>
          <w:szCs w:val="21"/>
        </w:rPr>
        <w:t>、香川県</w:t>
      </w:r>
      <w:r w:rsidRPr="00DA4F1A">
        <w:rPr>
          <w:rFonts w:hint="eastAsia"/>
          <w:b/>
          <w:szCs w:val="21"/>
        </w:rPr>
        <w:t>(9.88</w:t>
      </w:r>
      <w:r w:rsidRPr="00DA4F1A">
        <w:rPr>
          <w:rFonts w:hint="eastAsia"/>
          <w:b/>
          <w:szCs w:val="21"/>
        </w:rPr>
        <w:t>件</w:t>
      </w:r>
      <w:r w:rsidRPr="00DA4F1A">
        <w:rPr>
          <w:rFonts w:hint="eastAsia"/>
          <w:b/>
          <w:szCs w:val="21"/>
        </w:rPr>
        <w:t>)</w:t>
      </w:r>
      <w:r w:rsidRPr="00DA4F1A">
        <w:rPr>
          <w:rFonts w:hint="eastAsia"/>
          <w:b/>
          <w:szCs w:val="21"/>
        </w:rPr>
        <w:t>、京都府</w:t>
      </w:r>
      <w:r w:rsidRPr="00DA4F1A">
        <w:rPr>
          <w:rFonts w:hint="eastAsia"/>
          <w:b/>
          <w:szCs w:val="21"/>
        </w:rPr>
        <w:t>(9.21</w:t>
      </w:r>
      <w:r w:rsidRPr="00DA4F1A">
        <w:rPr>
          <w:rFonts w:hint="eastAsia"/>
          <w:b/>
          <w:szCs w:val="21"/>
        </w:rPr>
        <w:t>件</w:t>
      </w:r>
      <w:r w:rsidRPr="00DA4F1A">
        <w:rPr>
          <w:rFonts w:hint="eastAsia"/>
          <w:b/>
          <w:szCs w:val="21"/>
        </w:rPr>
        <w:t>)</w:t>
      </w:r>
      <w:r w:rsidRPr="00DA4F1A">
        <w:rPr>
          <w:rFonts w:hint="eastAsia"/>
          <w:b/>
          <w:szCs w:val="21"/>
        </w:rPr>
        <w:t>、高知県</w:t>
      </w:r>
      <w:r w:rsidRPr="00DA4F1A">
        <w:rPr>
          <w:rFonts w:hint="eastAsia"/>
          <w:b/>
          <w:szCs w:val="21"/>
        </w:rPr>
        <w:t>(7.75</w:t>
      </w:r>
      <w:r w:rsidRPr="00DA4F1A">
        <w:rPr>
          <w:rFonts w:hint="eastAsia"/>
          <w:b/>
          <w:szCs w:val="21"/>
        </w:rPr>
        <w:t>件</w:t>
      </w:r>
      <w:r w:rsidRPr="00DA4F1A">
        <w:rPr>
          <w:rFonts w:hint="eastAsia"/>
          <w:b/>
          <w:szCs w:val="21"/>
        </w:rPr>
        <w:t>)</w:t>
      </w:r>
      <w:r w:rsidRPr="00DA4F1A">
        <w:rPr>
          <w:rFonts w:hint="eastAsia"/>
          <w:b/>
          <w:szCs w:val="21"/>
        </w:rPr>
        <w:t>、大阪府</w:t>
      </w:r>
      <w:r w:rsidRPr="00DA4F1A">
        <w:rPr>
          <w:rFonts w:hint="eastAsia"/>
          <w:b/>
          <w:szCs w:val="21"/>
        </w:rPr>
        <w:t>(7.69</w:t>
      </w:r>
      <w:r w:rsidRPr="00DA4F1A">
        <w:rPr>
          <w:rFonts w:hint="eastAsia"/>
          <w:b/>
          <w:szCs w:val="21"/>
        </w:rPr>
        <w:t>件</w:t>
      </w:r>
      <w:r w:rsidRPr="00DA4F1A">
        <w:rPr>
          <w:rFonts w:hint="eastAsia"/>
          <w:b/>
          <w:szCs w:val="21"/>
        </w:rPr>
        <w:t>)</w:t>
      </w:r>
      <w:r w:rsidRPr="00DA4F1A">
        <w:rPr>
          <w:rFonts w:hint="eastAsia"/>
          <w:b/>
          <w:szCs w:val="21"/>
        </w:rPr>
        <w:t>と続いている。</w:t>
      </w:r>
    </w:p>
    <w:p w:rsidR="00DA4F1A" w:rsidRDefault="00DA4F1A" w:rsidP="001C1731">
      <w:pPr>
        <w:jc w:val="left"/>
        <w:rPr>
          <w:rFonts w:hint="eastAsia"/>
          <w:b/>
          <w:szCs w:val="21"/>
        </w:rPr>
      </w:pPr>
    </w:p>
    <w:p w:rsidR="009002D7" w:rsidRDefault="009002D7" w:rsidP="001C1731">
      <w:pPr>
        <w:jc w:val="left"/>
        <w:rPr>
          <w:rFonts w:hint="eastAsia"/>
          <w:b/>
          <w:szCs w:val="21"/>
        </w:rPr>
      </w:pPr>
      <w:r>
        <w:rPr>
          <w:rFonts w:hint="eastAsia"/>
          <w:b/>
          <w:szCs w:val="21"/>
        </w:rPr>
        <w:t>いじめ問題に関する最新の資料として</w:t>
      </w:r>
    </w:p>
    <w:p w:rsidR="009002D7" w:rsidRPr="009002D7" w:rsidRDefault="009002D7" w:rsidP="001C1731">
      <w:pPr>
        <w:jc w:val="left"/>
        <w:rPr>
          <w:rFonts w:hint="eastAsia"/>
          <w:b/>
          <w:szCs w:val="21"/>
        </w:rPr>
      </w:pPr>
      <w:r>
        <w:rPr>
          <w:rFonts w:hint="eastAsia"/>
          <w:b/>
          <w:szCs w:val="21"/>
        </w:rPr>
        <w:t>警視庁が</w:t>
      </w:r>
      <w:r w:rsidRPr="009002D7">
        <w:rPr>
          <w:rFonts w:hint="eastAsia"/>
          <w:b/>
          <w:szCs w:val="21"/>
        </w:rPr>
        <w:t>8</w:t>
      </w:r>
      <w:r w:rsidRPr="009002D7">
        <w:rPr>
          <w:rFonts w:hint="eastAsia"/>
          <w:b/>
          <w:szCs w:val="21"/>
        </w:rPr>
        <w:t>月</w:t>
      </w:r>
      <w:r w:rsidRPr="009002D7">
        <w:rPr>
          <w:rFonts w:hint="eastAsia"/>
          <w:b/>
          <w:szCs w:val="21"/>
        </w:rPr>
        <w:t>9</w:t>
      </w:r>
      <w:r w:rsidRPr="009002D7">
        <w:rPr>
          <w:rFonts w:hint="eastAsia"/>
          <w:b/>
          <w:szCs w:val="21"/>
        </w:rPr>
        <w:t>日</w:t>
      </w:r>
      <w:r>
        <w:rPr>
          <w:rFonts w:hint="eastAsia"/>
          <w:b/>
          <w:szCs w:val="21"/>
        </w:rPr>
        <w:t>に発表した</w:t>
      </w:r>
      <w:r w:rsidRPr="009002D7">
        <w:rPr>
          <w:rFonts w:hint="eastAsia"/>
          <w:b/>
          <w:szCs w:val="21"/>
        </w:rPr>
        <w:t>、</w:t>
      </w:r>
      <w:r w:rsidRPr="009002D7">
        <w:rPr>
          <w:rFonts w:hint="eastAsia"/>
          <w:b/>
          <w:szCs w:val="21"/>
        </w:rPr>
        <w:t>2012</w:t>
      </w:r>
      <w:r>
        <w:rPr>
          <w:rFonts w:hint="eastAsia"/>
          <w:b/>
          <w:szCs w:val="21"/>
        </w:rPr>
        <w:t>年上半期の少年非行情勢についてご覧ください</w:t>
      </w:r>
    </w:p>
    <w:p w:rsidR="009002D7" w:rsidRPr="009002D7" w:rsidRDefault="009002D7" w:rsidP="001C1731">
      <w:pPr>
        <w:jc w:val="left"/>
        <w:rPr>
          <w:rFonts w:hint="eastAsia"/>
          <w:b/>
          <w:szCs w:val="21"/>
        </w:rPr>
      </w:pPr>
      <w:r w:rsidRPr="009002D7">
        <w:rPr>
          <w:rFonts w:hint="eastAsia"/>
          <w:b/>
          <w:szCs w:val="21"/>
        </w:rPr>
        <w:t>2012</w:t>
      </w:r>
      <w:r w:rsidRPr="009002D7">
        <w:rPr>
          <w:rFonts w:hint="eastAsia"/>
          <w:b/>
          <w:szCs w:val="21"/>
        </w:rPr>
        <w:t>年上半期は、</w:t>
      </w:r>
      <w:r w:rsidRPr="009002D7">
        <w:rPr>
          <w:rFonts w:hint="eastAsia"/>
          <w:b/>
          <w:szCs w:val="21"/>
        </w:rPr>
        <w:t>3</w:t>
      </w:r>
      <w:r w:rsidRPr="009002D7">
        <w:rPr>
          <w:rFonts w:hint="eastAsia"/>
          <w:b/>
          <w:szCs w:val="21"/>
        </w:rPr>
        <w:t>万</w:t>
      </w:r>
      <w:r w:rsidRPr="009002D7">
        <w:rPr>
          <w:rFonts w:hint="eastAsia"/>
          <w:b/>
          <w:szCs w:val="21"/>
        </w:rPr>
        <w:t>1,232</w:t>
      </w:r>
      <w:r w:rsidRPr="009002D7">
        <w:rPr>
          <w:rFonts w:hint="eastAsia"/>
          <w:b/>
          <w:szCs w:val="21"/>
        </w:rPr>
        <w:t>人で前年同期比</w:t>
      </w:r>
      <w:r w:rsidRPr="009002D7">
        <w:rPr>
          <w:rFonts w:hint="eastAsia"/>
          <w:b/>
          <w:szCs w:val="21"/>
        </w:rPr>
        <w:t>14.4</w:t>
      </w:r>
      <w:r w:rsidRPr="009002D7">
        <w:rPr>
          <w:rFonts w:hint="eastAsia"/>
          <w:b/>
          <w:szCs w:val="21"/>
        </w:rPr>
        <w:t>％減</w:t>
      </w:r>
    </w:p>
    <w:p w:rsidR="009002D7" w:rsidRPr="009002D7" w:rsidRDefault="009002D7" w:rsidP="001C1731">
      <w:pPr>
        <w:jc w:val="left"/>
        <w:rPr>
          <w:rFonts w:hint="eastAsia"/>
          <w:b/>
          <w:szCs w:val="21"/>
        </w:rPr>
      </w:pPr>
    </w:p>
    <w:p w:rsidR="009002D7" w:rsidRPr="009002D7" w:rsidRDefault="009002D7" w:rsidP="001C1731">
      <w:pPr>
        <w:jc w:val="left"/>
        <w:rPr>
          <w:rFonts w:hint="eastAsia"/>
          <w:b/>
          <w:szCs w:val="21"/>
        </w:rPr>
      </w:pPr>
      <w:r w:rsidRPr="009002D7">
        <w:rPr>
          <w:rFonts w:hint="eastAsia"/>
          <w:b/>
          <w:szCs w:val="21"/>
        </w:rPr>
        <w:t>また、いじめに起因する事件の件数は、</w:t>
      </w:r>
      <w:r w:rsidRPr="009002D7">
        <w:rPr>
          <w:rFonts w:hint="eastAsia"/>
          <w:b/>
          <w:szCs w:val="21"/>
        </w:rPr>
        <w:t>2003</w:t>
      </w:r>
      <w:r w:rsidRPr="009002D7">
        <w:rPr>
          <w:rFonts w:hint="eastAsia"/>
          <w:b/>
          <w:szCs w:val="21"/>
        </w:rPr>
        <w:t>年から</w:t>
      </w:r>
      <w:r w:rsidRPr="009002D7">
        <w:rPr>
          <w:rFonts w:hint="eastAsia"/>
          <w:b/>
          <w:szCs w:val="21"/>
        </w:rPr>
        <w:t>2006</w:t>
      </w:r>
      <w:r w:rsidRPr="009002D7">
        <w:rPr>
          <w:rFonts w:hint="eastAsia"/>
          <w:b/>
          <w:szCs w:val="21"/>
        </w:rPr>
        <w:t>年まで毎年増加傾向にあったものの、</w:t>
      </w:r>
      <w:r w:rsidRPr="009002D7">
        <w:rPr>
          <w:rFonts w:hint="eastAsia"/>
          <w:b/>
          <w:szCs w:val="21"/>
        </w:rPr>
        <w:t>2007</w:t>
      </w:r>
      <w:r w:rsidRPr="009002D7">
        <w:rPr>
          <w:rFonts w:hint="eastAsia"/>
          <w:b/>
          <w:szCs w:val="21"/>
        </w:rPr>
        <w:t>年からは減少傾向にある。しかし</w:t>
      </w:r>
      <w:r w:rsidRPr="009002D7">
        <w:rPr>
          <w:rFonts w:hint="eastAsia"/>
          <w:b/>
          <w:szCs w:val="21"/>
        </w:rPr>
        <w:t>2012</w:t>
      </w:r>
      <w:r w:rsidRPr="009002D7">
        <w:rPr>
          <w:rFonts w:hint="eastAsia"/>
          <w:b/>
          <w:szCs w:val="21"/>
        </w:rPr>
        <w:t>年上半期は、</w:t>
      </w:r>
      <w:r w:rsidRPr="009002D7">
        <w:rPr>
          <w:rFonts w:hint="eastAsia"/>
          <w:b/>
          <w:szCs w:val="21"/>
        </w:rPr>
        <w:t>65</w:t>
      </w:r>
      <w:r w:rsidRPr="009002D7">
        <w:rPr>
          <w:rFonts w:hint="eastAsia"/>
          <w:b/>
          <w:szCs w:val="21"/>
        </w:rPr>
        <w:t>件で前年同期</w:t>
      </w:r>
      <w:r>
        <w:rPr>
          <w:rFonts w:hint="eastAsia"/>
          <w:b/>
          <w:szCs w:val="21"/>
        </w:rPr>
        <w:t>に</w:t>
      </w:r>
      <w:r w:rsidRPr="009002D7">
        <w:rPr>
          <w:rFonts w:hint="eastAsia"/>
          <w:b/>
          <w:szCs w:val="21"/>
        </w:rPr>
        <w:t>比</w:t>
      </w:r>
      <w:r>
        <w:rPr>
          <w:rFonts w:hint="eastAsia"/>
          <w:b/>
          <w:szCs w:val="21"/>
        </w:rPr>
        <w:t>べ</w:t>
      </w:r>
      <w:r w:rsidRPr="009002D7">
        <w:rPr>
          <w:rFonts w:hint="eastAsia"/>
          <w:b/>
          <w:szCs w:val="21"/>
        </w:rPr>
        <w:t>38.3</w:t>
      </w:r>
      <w:r w:rsidRPr="009002D7">
        <w:rPr>
          <w:rFonts w:hint="eastAsia"/>
          <w:b/>
          <w:szCs w:val="21"/>
        </w:rPr>
        <w:t>％増</w:t>
      </w:r>
      <w:r>
        <w:rPr>
          <w:rFonts w:hint="eastAsia"/>
          <w:b/>
          <w:szCs w:val="21"/>
        </w:rPr>
        <w:t>加</w:t>
      </w:r>
    </w:p>
    <w:p w:rsidR="009002D7" w:rsidRPr="009002D7" w:rsidRDefault="009002D7" w:rsidP="009002D7">
      <w:pPr>
        <w:rPr>
          <w:rFonts w:hint="eastAsia"/>
          <w:b/>
          <w:szCs w:val="21"/>
        </w:rPr>
      </w:pPr>
    </w:p>
    <w:p w:rsidR="009002D7" w:rsidRPr="009002D7" w:rsidRDefault="009002D7" w:rsidP="009002D7">
      <w:pPr>
        <w:rPr>
          <w:rFonts w:hint="eastAsia"/>
          <w:b/>
          <w:szCs w:val="21"/>
        </w:rPr>
      </w:pPr>
      <w:r w:rsidRPr="009002D7">
        <w:rPr>
          <w:rFonts w:hint="eastAsia"/>
          <w:b/>
          <w:szCs w:val="21"/>
        </w:rPr>
        <w:t>しかしこれらは警察が検挙または補導した小・中・高校生の「いじめによる事件」と「いじめの仕返しによる事件」を指すものであるため「いじめの件数」を示すわけではない。</w:t>
      </w:r>
    </w:p>
    <w:p w:rsidR="00897DF9" w:rsidRDefault="00E37871" w:rsidP="001C1731">
      <w:pPr>
        <w:jc w:val="left"/>
        <w:rPr>
          <w:rFonts w:hint="eastAsia"/>
          <w:b/>
          <w:szCs w:val="21"/>
        </w:rPr>
      </w:pPr>
      <w:r>
        <w:rPr>
          <w:rFonts w:hint="eastAsia"/>
          <w:b/>
          <w:szCs w:val="21"/>
        </w:rPr>
        <w:t>今ニュース等で取り沙汰される中多くのいじめが報告されてはいるが</w:t>
      </w:r>
      <w:r w:rsidRPr="00E37871">
        <w:rPr>
          <w:rFonts w:hint="eastAsia"/>
          <w:b/>
          <w:szCs w:val="21"/>
        </w:rPr>
        <w:t>い</w:t>
      </w:r>
      <w:r>
        <w:rPr>
          <w:rFonts w:hint="eastAsia"/>
          <w:b/>
          <w:szCs w:val="21"/>
        </w:rPr>
        <w:t>じめの判断基準が都道府県によって異なり、かつ報告されていない件数があることを考えるとその件数は計り知れないと思う</w:t>
      </w:r>
    </w:p>
    <w:p w:rsidR="00E37871" w:rsidRDefault="00E37871" w:rsidP="001C1731">
      <w:pPr>
        <w:jc w:val="left"/>
        <w:rPr>
          <w:rFonts w:hint="eastAsia"/>
          <w:b/>
          <w:szCs w:val="21"/>
        </w:rPr>
      </w:pPr>
      <w:r>
        <w:rPr>
          <w:rFonts w:hint="eastAsia"/>
          <w:b/>
          <w:szCs w:val="21"/>
        </w:rPr>
        <w:t>調べたいこととして、</w:t>
      </w:r>
      <w:r w:rsidR="00897DF9">
        <w:rPr>
          <w:rFonts w:hint="eastAsia"/>
          <w:b/>
          <w:szCs w:val="21"/>
        </w:rPr>
        <w:t>これらの問題の根本的解決策</w:t>
      </w:r>
    </w:p>
    <w:p w:rsidR="00E37871" w:rsidRPr="003048D8" w:rsidRDefault="00E37871" w:rsidP="001C1731">
      <w:pPr>
        <w:jc w:val="left"/>
        <w:rPr>
          <w:rFonts w:hint="eastAsia"/>
          <w:b/>
          <w:sz w:val="20"/>
          <w:szCs w:val="21"/>
        </w:rPr>
      </w:pPr>
      <w:r>
        <w:rPr>
          <w:rFonts w:hint="eastAsia"/>
          <w:b/>
          <w:szCs w:val="21"/>
        </w:rPr>
        <w:t>例えば私は</w:t>
      </w:r>
      <w:r w:rsidR="00C53B9F" w:rsidRPr="009002D7">
        <w:rPr>
          <w:rFonts w:hint="eastAsia"/>
          <w:b/>
          <w:szCs w:val="21"/>
        </w:rPr>
        <w:t>教育格差の是正</w:t>
      </w:r>
      <w:r w:rsidR="001873AF">
        <w:rPr>
          <w:rFonts w:hint="eastAsia"/>
          <w:b/>
          <w:szCs w:val="21"/>
        </w:rPr>
        <w:t>には</w:t>
      </w:r>
      <w:r w:rsidR="00C53B9F" w:rsidRPr="009002D7">
        <w:rPr>
          <w:rFonts w:hint="eastAsia"/>
          <w:b/>
          <w:szCs w:val="21"/>
        </w:rPr>
        <w:t>→</w:t>
      </w:r>
      <w:r>
        <w:rPr>
          <w:rFonts w:hint="eastAsia"/>
          <w:b/>
          <w:szCs w:val="21"/>
        </w:rPr>
        <w:t>一部地方でおこなわれている</w:t>
      </w:r>
      <w:r w:rsidR="00C53B9F" w:rsidRPr="009002D7">
        <w:rPr>
          <w:rFonts w:hint="eastAsia"/>
          <w:b/>
          <w:szCs w:val="21"/>
        </w:rPr>
        <w:t>少人数教育</w:t>
      </w:r>
      <w:r>
        <w:rPr>
          <w:rFonts w:hint="eastAsia"/>
          <w:b/>
          <w:szCs w:val="21"/>
        </w:rPr>
        <w:t>(</w:t>
      </w:r>
      <w:r>
        <w:rPr>
          <w:rFonts w:hint="eastAsia"/>
          <w:b/>
          <w:szCs w:val="21"/>
        </w:rPr>
        <w:t>都会での実現可能性</w:t>
      </w:r>
      <w:r w:rsidRPr="003048D8">
        <w:rPr>
          <w:rFonts w:hint="eastAsia"/>
          <w:b/>
          <w:sz w:val="20"/>
          <w:szCs w:val="21"/>
        </w:rPr>
        <w:t>は低い？</w:t>
      </w:r>
      <w:r w:rsidRPr="003048D8">
        <w:rPr>
          <w:rFonts w:hint="eastAsia"/>
          <w:b/>
          <w:sz w:val="20"/>
          <w:szCs w:val="21"/>
        </w:rPr>
        <w:t>)</w:t>
      </w:r>
      <w:r w:rsidR="00C53B9F" w:rsidRPr="003048D8">
        <w:rPr>
          <w:rFonts w:hint="eastAsia"/>
          <w:b/>
          <w:sz w:val="20"/>
          <w:szCs w:val="21"/>
        </w:rPr>
        <w:t>、家庭に踏み込んだ指導</w:t>
      </w:r>
    </w:p>
    <w:p w:rsidR="009002D7" w:rsidRDefault="00E37871" w:rsidP="001C1731">
      <w:pPr>
        <w:jc w:val="left"/>
        <w:rPr>
          <w:rFonts w:hint="eastAsia"/>
          <w:b/>
          <w:szCs w:val="21"/>
        </w:rPr>
      </w:pPr>
      <w:r>
        <w:rPr>
          <w:rFonts w:hint="eastAsia"/>
          <w:b/>
          <w:szCs w:val="21"/>
        </w:rPr>
        <w:lastRenderedPageBreak/>
        <w:t>これからの日本を担っていく子供たちの成長の場、教育現場</w:t>
      </w:r>
      <w:r w:rsidR="003048D8">
        <w:rPr>
          <w:rFonts w:hint="eastAsia"/>
          <w:b/>
          <w:szCs w:val="21"/>
        </w:rPr>
        <w:t>の革新は「</w:t>
      </w:r>
      <w:r w:rsidR="003048D8">
        <w:rPr>
          <w:rFonts w:hint="eastAsia"/>
          <w:b/>
          <w:szCs w:val="21"/>
        </w:rPr>
        <w:t>100</w:t>
      </w:r>
      <w:r w:rsidR="003048D8">
        <w:rPr>
          <w:rFonts w:hint="eastAsia"/>
          <w:b/>
          <w:szCs w:val="21"/>
        </w:rPr>
        <w:t>年後の日本」を考えるのに必要不可欠な問題</w:t>
      </w:r>
    </w:p>
    <w:p w:rsidR="003048D8" w:rsidRDefault="003048D8"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1C1731">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FC3A96" w:rsidRDefault="00FC3A96" w:rsidP="003048D8">
      <w:pPr>
        <w:jc w:val="left"/>
        <w:rPr>
          <w:rFonts w:hint="eastAsia"/>
          <w:b/>
          <w:szCs w:val="21"/>
        </w:rPr>
      </w:pPr>
    </w:p>
    <w:p w:rsidR="003048D8" w:rsidRPr="00777B45" w:rsidRDefault="003048D8" w:rsidP="003048D8">
      <w:pPr>
        <w:jc w:val="left"/>
        <w:rPr>
          <w:b/>
          <w:szCs w:val="21"/>
        </w:rPr>
      </w:pPr>
      <w:r>
        <w:rPr>
          <w:b/>
          <w:szCs w:val="21"/>
        </w:rPr>
        <w:lastRenderedPageBreak/>
        <w:t>「読解力」の国別ランキング</w:t>
      </w:r>
      <w:r w:rsidRPr="00777B45">
        <w:rPr>
          <w:b/>
          <w:szCs w:val="21"/>
        </w:rPr>
        <w:t xml:space="preserve"> </w:t>
      </w:r>
    </w:p>
    <w:p w:rsidR="003048D8" w:rsidRDefault="003048D8" w:rsidP="003048D8">
      <w:pPr>
        <w:jc w:val="left"/>
        <w:rPr>
          <w:rFonts w:hint="eastAsia"/>
          <w:b/>
          <w:szCs w:val="21"/>
        </w:rPr>
      </w:pPr>
      <w:r w:rsidRPr="00777B45">
        <w:rPr>
          <w:b/>
          <w:szCs w:val="21"/>
        </w:rPr>
        <w:drawing>
          <wp:inline distT="0" distB="0" distL="0" distR="0" wp14:anchorId="07B9BFEE" wp14:editId="7C04BE50">
            <wp:extent cx="5095875" cy="3638550"/>
            <wp:effectExtent l="0" t="0" r="9525" b="0"/>
            <wp:docPr id="2" name="図 2" descr="PISA200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2009-2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3638550"/>
                    </a:xfrm>
                    <a:prstGeom prst="rect">
                      <a:avLst/>
                    </a:prstGeom>
                    <a:noFill/>
                    <a:ln>
                      <a:noFill/>
                    </a:ln>
                  </pic:spPr>
                </pic:pic>
              </a:graphicData>
            </a:graphic>
          </wp:inline>
        </w:drawing>
      </w:r>
    </w:p>
    <w:p w:rsidR="003048D8" w:rsidRPr="00777B45" w:rsidRDefault="003048D8" w:rsidP="003048D8">
      <w:pPr>
        <w:jc w:val="left"/>
        <w:rPr>
          <w:b/>
          <w:szCs w:val="21"/>
        </w:rPr>
      </w:pPr>
    </w:p>
    <w:p w:rsidR="003048D8" w:rsidRPr="00FC3A96" w:rsidRDefault="003048D8" w:rsidP="001C1731">
      <w:pPr>
        <w:jc w:val="left"/>
        <w:rPr>
          <w:rFonts w:hint="eastAsia"/>
          <w:b/>
          <w:szCs w:val="21"/>
        </w:rPr>
      </w:pPr>
      <w:r w:rsidRPr="003048D8">
        <w:rPr>
          <w:rFonts w:hint="eastAsia"/>
          <w:b/>
          <w:szCs w:val="21"/>
        </w:rPr>
        <w:t>生徒</w:t>
      </w:r>
      <w:r w:rsidRPr="003048D8">
        <w:rPr>
          <w:rFonts w:hint="eastAsia"/>
          <w:b/>
          <w:szCs w:val="21"/>
        </w:rPr>
        <w:t>1000</w:t>
      </w:r>
      <w:r w:rsidRPr="003048D8">
        <w:rPr>
          <w:rFonts w:hint="eastAsia"/>
          <w:b/>
          <w:szCs w:val="21"/>
        </w:rPr>
        <w:t>人あたりの校内暴力発生件数第</w:t>
      </w:r>
      <w:r w:rsidRPr="003048D8">
        <w:rPr>
          <w:rFonts w:hint="eastAsia"/>
          <w:b/>
          <w:szCs w:val="21"/>
        </w:rPr>
        <w:t>1</w:t>
      </w:r>
      <w:r>
        <w:rPr>
          <w:rFonts w:hint="eastAsia"/>
          <w:b/>
          <w:szCs w:val="21"/>
        </w:rPr>
        <w:t>位は神奈川県</w:t>
      </w:r>
      <w:r w:rsidRPr="003048D8">
        <w:rPr>
          <w:rFonts w:hint="eastAsia"/>
          <w:b/>
          <w:szCs w:val="21"/>
        </w:rPr>
        <w:t>10.19</w:t>
      </w:r>
      <w:r w:rsidRPr="003048D8">
        <w:rPr>
          <w:rFonts w:hint="eastAsia"/>
          <w:b/>
          <w:szCs w:val="21"/>
        </w:rPr>
        <w:t>件。以下、奈良県</w:t>
      </w:r>
      <w:r w:rsidRPr="003048D8">
        <w:rPr>
          <w:rFonts w:hint="eastAsia"/>
          <w:b/>
          <w:szCs w:val="21"/>
        </w:rPr>
        <w:t>(10.14</w:t>
      </w:r>
      <w:r w:rsidRPr="003048D8">
        <w:rPr>
          <w:rFonts w:hint="eastAsia"/>
          <w:b/>
          <w:szCs w:val="21"/>
        </w:rPr>
        <w:t>件</w:t>
      </w:r>
      <w:r w:rsidRPr="003048D8">
        <w:rPr>
          <w:rFonts w:hint="eastAsia"/>
          <w:b/>
          <w:szCs w:val="21"/>
        </w:rPr>
        <w:t>)</w:t>
      </w:r>
      <w:r w:rsidRPr="003048D8">
        <w:rPr>
          <w:rFonts w:hint="eastAsia"/>
          <w:b/>
          <w:szCs w:val="21"/>
        </w:rPr>
        <w:t>、香川県</w:t>
      </w:r>
      <w:r w:rsidRPr="003048D8">
        <w:rPr>
          <w:rFonts w:hint="eastAsia"/>
          <w:b/>
          <w:szCs w:val="21"/>
        </w:rPr>
        <w:t>(9.88</w:t>
      </w:r>
      <w:r w:rsidRPr="003048D8">
        <w:rPr>
          <w:rFonts w:hint="eastAsia"/>
          <w:b/>
          <w:szCs w:val="21"/>
        </w:rPr>
        <w:t>件</w:t>
      </w:r>
      <w:r w:rsidRPr="003048D8">
        <w:rPr>
          <w:rFonts w:hint="eastAsia"/>
          <w:b/>
          <w:szCs w:val="21"/>
        </w:rPr>
        <w:t>)</w:t>
      </w:r>
      <w:r w:rsidRPr="003048D8">
        <w:rPr>
          <w:rFonts w:hint="eastAsia"/>
          <w:b/>
          <w:szCs w:val="21"/>
        </w:rPr>
        <w:t>、京都府</w:t>
      </w:r>
      <w:r w:rsidRPr="003048D8">
        <w:rPr>
          <w:rFonts w:hint="eastAsia"/>
          <w:b/>
          <w:szCs w:val="21"/>
        </w:rPr>
        <w:t>(9.21</w:t>
      </w:r>
      <w:r w:rsidRPr="003048D8">
        <w:rPr>
          <w:rFonts w:hint="eastAsia"/>
          <w:b/>
          <w:szCs w:val="21"/>
        </w:rPr>
        <w:t>件</w:t>
      </w:r>
      <w:r w:rsidRPr="003048D8">
        <w:rPr>
          <w:rFonts w:hint="eastAsia"/>
          <w:b/>
          <w:szCs w:val="21"/>
        </w:rPr>
        <w:t>)</w:t>
      </w:r>
      <w:r w:rsidRPr="003048D8">
        <w:rPr>
          <w:rFonts w:hint="eastAsia"/>
          <w:b/>
          <w:szCs w:val="21"/>
        </w:rPr>
        <w:t>、高知県</w:t>
      </w:r>
      <w:r w:rsidRPr="003048D8">
        <w:rPr>
          <w:rFonts w:hint="eastAsia"/>
          <w:b/>
          <w:szCs w:val="21"/>
        </w:rPr>
        <w:t>(7.75</w:t>
      </w:r>
      <w:r w:rsidRPr="003048D8">
        <w:rPr>
          <w:rFonts w:hint="eastAsia"/>
          <w:b/>
          <w:szCs w:val="21"/>
        </w:rPr>
        <w:t>件</w:t>
      </w:r>
      <w:r w:rsidRPr="003048D8">
        <w:rPr>
          <w:rFonts w:hint="eastAsia"/>
          <w:b/>
          <w:szCs w:val="21"/>
        </w:rPr>
        <w:t>)</w:t>
      </w:r>
      <w:r w:rsidRPr="003048D8">
        <w:rPr>
          <w:rFonts w:hint="eastAsia"/>
          <w:b/>
          <w:szCs w:val="21"/>
        </w:rPr>
        <w:t>、大阪府</w:t>
      </w:r>
      <w:r w:rsidRPr="003048D8">
        <w:rPr>
          <w:rFonts w:hint="eastAsia"/>
          <w:b/>
          <w:szCs w:val="21"/>
        </w:rPr>
        <w:t>(7.69</w:t>
      </w:r>
      <w:r w:rsidRPr="003048D8">
        <w:rPr>
          <w:rFonts w:hint="eastAsia"/>
          <w:b/>
          <w:szCs w:val="21"/>
        </w:rPr>
        <w:t>件</w:t>
      </w:r>
      <w:r w:rsidR="00FC3A96">
        <w:rPr>
          <w:rFonts w:hint="eastAsia"/>
          <w:b/>
          <w:szCs w:val="21"/>
        </w:rPr>
        <w:t>)</w:t>
      </w:r>
    </w:p>
    <w:p w:rsidR="003048D8" w:rsidRDefault="003048D8" w:rsidP="001C1731">
      <w:pPr>
        <w:jc w:val="left"/>
        <w:rPr>
          <w:rFonts w:hint="eastAsia"/>
          <w:b/>
          <w:szCs w:val="21"/>
        </w:rPr>
      </w:pPr>
    </w:p>
    <w:p w:rsidR="003048D8" w:rsidRDefault="003048D8" w:rsidP="001C1731">
      <w:pPr>
        <w:jc w:val="left"/>
        <w:rPr>
          <w:rFonts w:hint="eastAsia"/>
          <w:b/>
          <w:szCs w:val="21"/>
        </w:rPr>
      </w:pPr>
      <w:r w:rsidRPr="003048D8">
        <w:rPr>
          <w:b/>
          <w:szCs w:val="21"/>
        </w:rPr>
        <w:lastRenderedPageBreak/>
        <w:drawing>
          <wp:inline distT="0" distB="0" distL="0" distR="0">
            <wp:extent cx="6096000" cy="4600575"/>
            <wp:effectExtent l="0" t="0" r="0" b="9525"/>
            <wp:docPr id="3" name="図 3" descr="2012年上半期の少年非行情勢を発表、刑法犯少年の検挙人員は10年連続の減少(警視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年上半期の少年非行情勢を発表、刑法犯少年の検挙人員は10年連続の減少(警視庁)">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600575"/>
                    </a:xfrm>
                    <a:prstGeom prst="rect">
                      <a:avLst/>
                    </a:prstGeom>
                    <a:noFill/>
                    <a:ln>
                      <a:noFill/>
                    </a:ln>
                  </pic:spPr>
                </pic:pic>
              </a:graphicData>
            </a:graphic>
          </wp:inline>
        </w:drawing>
      </w:r>
    </w:p>
    <w:p w:rsidR="003048D8" w:rsidRPr="003048D8" w:rsidRDefault="003048D8" w:rsidP="003048D8">
      <w:pPr>
        <w:jc w:val="left"/>
        <w:rPr>
          <w:b/>
          <w:szCs w:val="21"/>
        </w:rPr>
      </w:pPr>
    </w:p>
    <w:p w:rsidR="003048D8" w:rsidRPr="003048D8" w:rsidRDefault="003048D8" w:rsidP="003048D8">
      <w:pPr>
        <w:jc w:val="left"/>
        <w:rPr>
          <w:rFonts w:hint="eastAsia"/>
          <w:b/>
          <w:szCs w:val="21"/>
        </w:rPr>
      </w:pPr>
      <w:r w:rsidRPr="003048D8">
        <w:rPr>
          <w:b/>
          <w:szCs w:val="21"/>
        </w:rPr>
        <w:drawing>
          <wp:inline distT="0" distB="0" distL="0" distR="0">
            <wp:extent cx="6096000" cy="1476375"/>
            <wp:effectExtent l="0" t="0" r="0" b="9525"/>
            <wp:docPr id="4" name="図 4" descr="2012年上半期の少年非行情勢を発表、刑法犯少年の検挙人員は10年連続の減少(警視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年上半期の少年非行情勢を発表、刑法犯少年の検挙人員は10年連続の減少(警視庁)">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3048D8" w:rsidRPr="003048D8" w:rsidRDefault="003048D8" w:rsidP="003048D8">
      <w:pPr>
        <w:jc w:val="left"/>
        <w:rPr>
          <w:rFonts w:hint="eastAsia"/>
          <w:b/>
          <w:szCs w:val="21"/>
        </w:rPr>
      </w:pPr>
    </w:p>
    <w:p w:rsidR="003048D8" w:rsidRDefault="003048D8" w:rsidP="001C1731">
      <w:pPr>
        <w:jc w:val="left"/>
        <w:rPr>
          <w:rFonts w:hint="eastAsia"/>
          <w:b/>
          <w:szCs w:val="21"/>
        </w:rPr>
      </w:pPr>
    </w:p>
    <w:p w:rsidR="002261C3" w:rsidRDefault="002261C3" w:rsidP="001C1731">
      <w:pPr>
        <w:jc w:val="left"/>
        <w:rPr>
          <w:rFonts w:hint="eastAsia"/>
          <w:b/>
          <w:szCs w:val="21"/>
        </w:rPr>
      </w:pPr>
    </w:p>
    <w:p w:rsidR="002261C3" w:rsidRDefault="002261C3" w:rsidP="001C1731">
      <w:pPr>
        <w:jc w:val="left"/>
        <w:rPr>
          <w:rFonts w:hint="eastAsia"/>
          <w:b/>
          <w:szCs w:val="21"/>
        </w:rPr>
      </w:pPr>
    </w:p>
    <w:p w:rsidR="002261C3" w:rsidRDefault="002261C3" w:rsidP="001C1731">
      <w:pPr>
        <w:jc w:val="left"/>
        <w:rPr>
          <w:rFonts w:hint="eastAsia"/>
          <w:b/>
          <w:szCs w:val="21"/>
        </w:rPr>
      </w:pPr>
    </w:p>
    <w:p w:rsidR="002261C3" w:rsidRDefault="002261C3" w:rsidP="001C1731">
      <w:pPr>
        <w:jc w:val="left"/>
        <w:rPr>
          <w:rFonts w:hint="eastAsia"/>
          <w:b/>
          <w:szCs w:val="21"/>
        </w:rPr>
      </w:pPr>
    </w:p>
    <w:p w:rsidR="002261C3" w:rsidRPr="003048D8" w:rsidRDefault="002261C3" w:rsidP="001C1731">
      <w:pPr>
        <w:jc w:val="left"/>
        <w:rPr>
          <w:b/>
          <w:szCs w:val="21"/>
        </w:rPr>
      </w:pPr>
      <w:bookmarkStart w:id="0" w:name="_GoBack"/>
      <w:bookmarkEnd w:id="0"/>
    </w:p>
    <w:sectPr w:rsidR="002261C3" w:rsidRPr="003048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C9" w:rsidRDefault="009650C9" w:rsidP="009002D7">
      <w:r>
        <w:separator/>
      </w:r>
    </w:p>
  </w:endnote>
  <w:endnote w:type="continuationSeparator" w:id="0">
    <w:p w:rsidR="009650C9" w:rsidRDefault="009650C9" w:rsidP="009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C9" w:rsidRDefault="009650C9" w:rsidP="009002D7">
      <w:r>
        <w:separator/>
      </w:r>
    </w:p>
  </w:footnote>
  <w:footnote w:type="continuationSeparator" w:id="0">
    <w:p w:rsidR="009650C9" w:rsidRDefault="009650C9" w:rsidP="0090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31"/>
    <w:rsid w:val="00026AE7"/>
    <w:rsid w:val="001873AF"/>
    <w:rsid w:val="001C1731"/>
    <w:rsid w:val="00200847"/>
    <w:rsid w:val="002261C3"/>
    <w:rsid w:val="002D3B58"/>
    <w:rsid w:val="003048D8"/>
    <w:rsid w:val="00465115"/>
    <w:rsid w:val="00550732"/>
    <w:rsid w:val="00555EE8"/>
    <w:rsid w:val="006E41B2"/>
    <w:rsid w:val="00777B45"/>
    <w:rsid w:val="00897DF9"/>
    <w:rsid w:val="009002D7"/>
    <w:rsid w:val="00903B44"/>
    <w:rsid w:val="009363BE"/>
    <w:rsid w:val="009650C9"/>
    <w:rsid w:val="00AE0F29"/>
    <w:rsid w:val="00B1205E"/>
    <w:rsid w:val="00B25495"/>
    <w:rsid w:val="00B67C2A"/>
    <w:rsid w:val="00C53B9F"/>
    <w:rsid w:val="00D81568"/>
    <w:rsid w:val="00DA4F1A"/>
    <w:rsid w:val="00DE5B03"/>
    <w:rsid w:val="00E37871"/>
    <w:rsid w:val="00E42942"/>
    <w:rsid w:val="00EC4F2B"/>
    <w:rsid w:val="00FC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2D7"/>
    <w:pPr>
      <w:tabs>
        <w:tab w:val="center" w:pos="4252"/>
        <w:tab w:val="right" w:pos="8504"/>
      </w:tabs>
      <w:snapToGrid w:val="0"/>
    </w:pPr>
  </w:style>
  <w:style w:type="character" w:customStyle="1" w:styleId="a4">
    <w:name w:val="ヘッダー (文字)"/>
    <w:basedOn w:val="a0"/>
    <w:link w:val="a3"/>
    <w:uiPriority w:val="99"/>
    <w:rsid w:val="009002D7"/>
  </w:style>
  <w:style w:type="paragraph" w:styleId="a5">
    <w:name w:val="footer"/>
    <w:basedOn w:val="a"/>
    <w:link w:val="a6"/>
    <w:uiPriority w:val="99"/>
    <w:unhideWhenUsed/>
    <w:rsid w:val="009002D7"/>
    <w:pPr>
      <w:tabs>
        <w:tab w:val="center" w:pos="4252"/>
        <w:tab w:val="right" w:pos="8504"/>
      </w:tabs>
      <w:snapToGrid w:val="0"/>
    </w:pPr>
  </w:style>
  <w:style w:type="character" w:customStyle="1" w:styleId="a6">
    <w:name w:val="フッター (文字)"/>
    <w:basedOn w:val="a0"/>
    <w:link w:val="a5"/>
    <w:uiPriority w:val="99"/>
    <w:rsid w:val="009002D7"/>
  </w:style>
  <w:style w:type="paragraph" w:styleId="a7">
    <w:name w:val="Balloon Text"/>
    <w:basedOn w:val="a"/>
    <w:link w:val="a8"/>
    <w:uiPriority w:val="99"/>
    <w:semiHidden/>
    <w:unhideWhenUsed/>
    <w:rsid w:val="00777B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B45"/>
    <w:rPr>
      <w:rFonts w:asciiTheme="majorHAnsi" w:eastAsiaTheme="majorEastAsia" w:hAnsiTheme="majorHAnsi" w:cstheme="majorBidi"/>
      <w:sz w:val="18"/>
      <w:szCs w:val="18"/>
    </w:rPr>
  </w:style>
  <w:style w:type="character" w:styleId="a9">
    <w:name w:val="Hyperlink"/>
    <w:basedOn w:val="a0"/>
    <w:uiPriority w:val="99"/>
    <w:unhideWhenUsed/>
    <w:rsid w:val="00304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2D7"/>
    <w:pPr>
      <w:tabs>
        <w:tab w:val="center" w:pos="4252"/>
        <w:tab w:val="right" w:pos="8504"/>
      </w:tabs>
      <w:snapToGrid w:val="0"/>
    </w:pPr>
  </w:style>
  <w:style w:type="character" w:customStyle="1" w:styleId="a4">
    <w:name w:val="ヘッダー (文字)"/>
    <w:basedOn w:val="a0"/>
    <w:link w:val="a3"/>
    <w:uiPriority w:val="99"/>
    <w:rsid w:val="009002D7"/>
  </w:style>
  <w:style w:type="paragraph" w:styleId="a5">
    <w:name w:val="footer"/>
    <w:basedOn w:val="a"/>
    <w:link w:val="a6"/>
    <w:uiPriority w:val="99"/>
    <w:unhideWhenUsed/>
    <w:rsid w:val="009002D7"/>
    <w:pPr>
      <w:tabs>
        <w:tab w:val="center" w:pos="4252"/>
        <w:tab w:val="right" w:pos="8504"/>
      </w:tabs>
      <w:snapToGrid w:val="0"/>
    </w:pPr>
  </w:style>
  <w:style w:type="character" w:customStyle="1" w:styleId="a6">
    <w:name w:val="フッター (文字)"/>
    <w:basedOn w:val="a0"/>
    <w:link w:val="a5"/>
    <w:uiPriority w:val="99"/>
    <w:rsid w:val="009002D7"/>
  </w:style>
  <w:style w:type="paragraph" w:styleId="a7">
    <w:name w:val="Balloon Text"/>
    <w:basedOn w:val="a"/>
    <w:link w:val="a8"/>
    <w:uiPriority w:val="99"/>
    <w:semiHidden/>
    <w:unhideWhenUsed/>
    <w:rsid w:val="00777B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B45"/>
    <w:rPr>
      <w:rFonts w:asciiTheme="majorHAnsi" w:eastAsiaTheme="majorEastAsia" w:hAnsiTheme="majorHAnsi" w:cstheme="majorBidi"/>
      <w:sz w:val="18"/>
      <w:szCs w:val="18"/>
    </w:rPr>
  </w:style>
  <w:style w:type="character" w:styleId="a9">
    <w:name w:val="Hyperlink"/>
    <w:basedOn w:val="a0"/>
    <w:uiPriority w:val="99"/>
    <w:unhideWhenUsed/>
    <w:rsid w:val="0030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7198">
      <w:bodyDiv w:val="1"/>
      <w:marLeft w:val="0"/>
      <w:marRight w:val="0"/>
      <w:marTop w:val="0"/>
      <w:marBottom w:val="0"/>
      <w:divBdr>
        <w:top w:val="none" w:sz="0" w:space="0" w:color="auto"/>
        <w:left w:val="none" w:sz="0" w:space="0" w:color="auto"/>
        <w:bottom w:val="none" w:sz="0" w:space="0" w:color="auto"/>
        <w:right w:val="none" w:sz="0" w:space="0" w:color="auto"/>
      </w:divBdr>
      <w:divsChild>
        <w:div w:id="941186326">
          <w:marLeft w:val="0"/>
          <w:marRight w:val="0"/>
          <w:marTop w:val="0"/>
          <w:marBottom w:val="0"/>
          <w:divBdr>
            <w:top w:val="none" w:sz="0" w:space="0" w:color="auto"/>
            <w:left w:val="none" w:sz="0" w:space="0" w:color="auto"/>
            <w:bottom w:val="none" w:sz="0" w:space="0" w:color="auto"/>
            <w:right w:val="none" w:sz="0" w:space="0" w:color="auto"/>
          </w:divBdr>
          <w:divsChild>
            <w:div w:id="819152722">
              <w:marLeft w:val="0"/>
              <w:marRight w:val="0"/>
              <w:marTop w:val="150"/>
              <w:marBottom w:val="0"/>
              <w:divBdr>
                <w:top w:val="none" w:sz="0" w:space="0" w:color="auto"/>
                <w:left w:val="none" w:sz="0" w:space="0" w:color="auto"/>
                <w:bottom w:val="none" w:sz="0" w:space="0" w:color="auto"/>
                <w:right w:val="none" w:sz="0" w:space="0" w:color="auto"/>
              </w:divBdr>
              <w:divsChild>
                <w:div w:id="1300577022">
                  <w:marLeft w:val="0"/>
                  <w:marRight w:val="0"/>
                  <w:marTop w:val="0"/>
                  <w:marBottom w:val="0"/>
                  <w:divBdr>
                    <w:top w:val="none" w:sz="0" w:space="0" w:color="auto"/>
                    <w:left w:val="none" w:sz="0" w:space="0" w:color="auto"/>
                    <w:bottom w:val="none" w:sz="0" w:space="0" w:color="auto"/>
                    <w:right w:val="none" w:sz="0" w:space="0" w:color="auto"/>
                  </w:divBdr>
                  <w:divsChild>
                    <w:div w:id="1888295326">
                      <w:marLeft w:val="0"/>
                      <w:marRight w:val="0"/>
                      <w:marTop w:val="0"/>
                      <w:marBottom w:val="0"/>
                      <w:divBdr>
                        <w:top w:val="none" w:sz="0" w:space="0" w:color="auto"/>
                        <w:left w:val="none" w:sz="0" w:space="0" w:color="auto"/>
                        <w:bottom w:val="none" w:sz="0" w:space="0" w:color="auto"/>
                        <w:right w:val="none" w:sz="0" w:space="0" w:color="auto"/>
                      </w:divBdr>
                      <w:divsChild>
                        <w:div w:id="813375933">
                          <w:marLeft w:val="0"/>
                          <w:marRight w:val="0"/>
                          <w:marTop w:val="0"/>
                          <w:marBottom w:val="0"/>
                          <w:divBdr>
                            <w:top w:val="none" w:sz="0" w:space="0" w:color="auto"/>
                            <w:left w:val="none" w:sz="0" w:space="0" w:color="auto"/>
                            <w:bottom w:val="none" w:sz="0" w:space="0" w:color="auto"/>
                            <w:right w:val="none" w:sz="0" w:space="0" w:color="auto"/>
                          </w:divBdr>
                          <w:divsChild>
                            <w:div w:id="310330337">
                              <w:marLeft w:val="150"/>
                              <w:marRight w:val="0"/>
                              <w:marTop w:val="0"/>
                              <w:marBottom w:val="0"/>
                              <w:divBdr>
                                <w:top w:val="none" w:sz="0" w:space="0" w:color="auto"/>
                                <w:left w:val="none" w:sz="0" w:space="0" w:color="auto"/>
                                <w:bottom w:val="none" w:sz="0" w:space="0" w:color="auto"/>
                                <w:right w:val="none" w:sz="0" w:space="0" w:color="auto"/>
                              </w:divBdr>
                            </w:div>
                            <w:div w:id="425536296">
                              <w:marLeft w:val="150"/>
                              <w:marRight w:val="0"/>
                              <w:marTop w:val="30"/>
                              <w:marBottom w:val="0"/>
                              <w:divBdr>
                                <w:top w:val="none" w:sz="0" w:space="0" w:color="auto"/>
                                <w:left w:val="none" w:sz="0" w:space="0" w:color="auto"/>
                                <w:bottom w:val="none" w:sz="0" w:space="0" w:color="auto"/>
                                <w:right w:val="none" w:sz="0" w:space="0" w:color="auto"/>
                              </w:divBdr>
                            </w:div>
                            <w:div w:id="758058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668136">
      <w:bodyDiv w:val="1"/>
      <w:marLeft w:val="150"/>
      <w:marRight w:val="150"/>
      <w:marTop w:val="0"/>
      <w:marBottom w:val="0"/>
      <w:divBdr>
        <w:top w:val="none" w:sz="0" w:space="0" w:color="auto"/>
        <w:left w:val="none" w:sz="0" w:space="0" w:color="auto"/>
        <w:bottom w:val="none" w:sz="0" w:space="0" w:color="auto"/>
        <w:right w:val="none" w:sz="0" w:space="0" w:color="auto"/>
      </w:divBdr>
      <w:divsChild>
        <w:div w:id="2085449695">
          <w:marLeft w:val="0"/>
          <w:marRight w:val="0"/>
          <w:marTop w:val="0"/>
          <w:marBottom w:val="0"/>
          <w:divBdr>
            <w:top w:val="none" w:sz="0" w:space="0" w:color="auto"/>
            <w:left w:val="none" w:sz="0" w:space="0" w:color="auto"/>
            <w:bottom w:val="none" w:sz="0" w:space="0" w:color="auto"/>
            <w:right w:val="none" w:sz="0" w:space="0" w:color="auto"/>
          </w:divBdr>
          <w:divsChild>
            <w:div w:id="1120344773">
              <w:marLeft w:val="0"/>
              <w:marRight w:val="0"/>
              <w:marTop w:val="1200"/>
              <w:marBottom w:val="750"/>
              <w:divBdr>
                <w:top w:val="none" w:sz="0" w:space="0" w:color="auto"/>
                <w:left w:val="none" w:sz="0" w:space="0" w:color="auto"/>
                <w:bottom w:val="none" w:sz="0" w:space="0" w:color="auto"/>
                <w:right w:val="none" w:sz="0" w:space="0" w:color="auto"/>
              </w:divBdr>
              <w:divsChild>
                <w:div w:id="1764325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6269">
      <w:bodyDiv w:val="1"/>
      <w:marLeft w:val="0"/>
      <w:marRight w:val="0"/>
      <w:marTop w:val="0"/>
      <w:marBottom w:val="0"/>
      <w:divBdr>
        <w:top w:val="none" w:sz="0" w:space="0" w:color="auto"/>
        <w:left w:val="none" w:sz="0" w:space="0" w:color="auto"/>
        <w:bottom w:val="none" w:sz="0" w:space="0" w:color="auto"/>
        <w:right w:val="none" w:sz="0" w:space="0" w:color="auto"/>
      </w:divBdr>
      <w:divsChild>
        <w:div w:id="1856075871">
          <w:marLeft w:val="0"/>
          <w:marRight w:val="0"/>
          <w:marTop w:val="0"/>
          <w:marBottom w:val="0"/>
          <w:divBdr>
            <w:top w:val="none" w:sz="0" w:space="0" w:color="auto"/>
            <w:left w:val="none" w:sz="0" w:space="0" w:color="auto"/>
            <w:bottom w:val="none" w:sz="0" w:space="0" w:color="auto"/>
            <w:right w:val="none" w:sz="0" w:space="0" w:color="auto"/>
          </w:divBdr>
          <w:divsChild>
            <w:div w:id="1692225638">
              <w:marLeft w:val="0"/>
              <w:marRight w:val="0"/>
              <w:marTop w:val="150"/>
              <w:marBottom w:val="0"/>
              <w:divBdr>
                <w:top w:val="none" w:sz="0" w:space="0" w:color="auto"/>
                <w:left w:val="none" w:sz="0" w:space="0" w:color="auto"/>
                <w:bottom w:val="none" w:sz="0" w:space="0" w:color="auto"/>
                <w:right w:val="none" w:sz="0" w:space="0" w:color="auto"/>
              </w:divBdr>
              <w:divsChild>
                <w:div w:id="1764300490">
                  <w:marLeft w:val="0"/>
                  <w:marRight w:val="0"/>
                  <w:marTop w:val="0"/>
                  <w:marBottom w:val="0"/>
                  <w:divBdr>
                    <w:top w:val="none" w:sz="0" w:space="0" w:color="auto"/>
                    <w:left w:val="none" w:sz="0" w:space="0" w:color="auto"/>
                    <w:bottom w:val="none" w:sz="0" w:space="0" w:color="auto"/>
                    <w:right w:val="none" w:sz="0" w:space="0" w:color="auto"/>
                  </w:divBdr>
                  <w:divsChild>
                    <w:div w:id="1877619431">
                      <w:marLeft w:val="0"/>
                      <w:marRight w:val="0"/>
                      <w:marTop w:val="0"/>
                      <w:marBottom w:val="0"/>
                      <w:divBdr>
                        <w:top w:val="none" w:sz="0" w:space="0" w:color="auto"/>
                        <w:left w:val="none" w:sz="0" w:space="0" w:color="auto"/>
                        <w:bottom w:val="none" w:sz="0" w:space="0" w:color="auto"/>
                        <w:right w:val="none" w:sz="0" w:space="0" w:color="auto"/>
                      </w:divBdr>
                      <w:divsChild>
                        <w:div w:id="2020892001">
                          <w:marLeft w:val="0"/>
                          <w:marRight w:val="0"/>
                          <w:marTop w:val="0"/>
                          <w:marBottom w:val="0"/>
                          <w:divBdr>
                            <w:top w:val="none" w:sz="0" w:space="0" w:color="auto"/>
                            <w:left w:val="none" w:sz="0" w:space="0" w:color="auto"/>
                            <w:bottom w:val="none" w:sz="0" w:space="0" w:color="auto"/>
                            <w:right w:val="none" w:sz="0" w:space="0" w:color="auto"/>
                          </w:divBdr>
                          <w:divsChild>
                            <w:div w:id="316111658">
                              <w:marLeft w:val="150"/>
                              <w:marRight w:val="0"/>
                              <w:marTop w:val="0"/>
                              <w:marBottom w:val="0"/>
                              <w:divBdr>
                                <w:top w:val="none" w:sz="0" w:space="0" w:color="auto"/>
                                <w:left w:val="none" w:sz="0" w:space="0" w:color="auto"/>
                                <w:bottom w:val="none" w:sz="0" w:space="0" w:color="auto"/>
                                <w:right w:val="none" w:sz="0" w:space="0" w:color="auto"/>
                              </w:divBdr>
                            </w:div>
                            <w:div w:id="896937773">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netsecurity.ne.jp/article/img/2012/08/12/29673/274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can.netsecurity.ne.jp/article/img/2012/08/12/29673/2743.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6</cp:revision>
  <cp:lastPrinted>2012-08-12T16:38:00Z</cp:lastPrinted>
  <dcterms:created xsi:type="dcterms:W3CDTF">2012-08-12T13:42:00Z</dcterms:created>
  <dcterms:modified xsi:type="dcterms:W3CDTF">2012-08-12T16:45:00Z</dcterms:modified>
</cp:coreProperties>
</file>